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447265211"/>
      <w:bookmarkStart w:id="1" w:name="_Toc447265497"/>
      <w:bookmarkStart w:id="2" w:name="_Toc16097"/>
      <w:bookmarkStart w:id="3" w:name="_Toc447265797"/>
      <w:bookmarkStart w:id="4" w:name="_Toc447188662"/>
      <w:r>
        <w:rPr>
          <w:rFonts w:hint="eastAsia" w:ascii="宋体" w:hAnsi="宋体" w:eastAsia="宋体" w:cs="宋体"/>
          <w:b/>
          <w:bCs w:val="0"/>
          <w:kern w:val="0"/>
          <w:sz w:val="28"/>
          <w:szCs w:val="28"/>
        </w:rPr>
        <w:t>2020年光纤配线架采购项目招标公告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2020年光纤配线架采购项目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（招标编号：YT04202000825ZB）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7800"/>
      <w:bookmarkStart w:id="6" w:name="_Toc9017234"/>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2020年光纤配线架采购项目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5"/>
        <w:tblW w:w="0" w:type="auto"/>
        <w:tblInd w:w="566" w:type="dxa"/>
        <w:tblLayout w:type="fixed"/>
        <w:tblCellMar>
          <w:top w:w="0" w:type="dxa"/>
          <w:left w:w="108" w:type="dxa"/>
          <w:bottom w:w="0" w:type="dxa"/>
          <w:right w:w="108" w:type="dxa"/>
        </w:tblCellMar>
      </w:tblPr>
      <w:tblGrid>
        <w:gridCol w:w="910"/>
        <w:gridCol w:w="1837"/>
        <w:gridCol w:w="3638"/>
        <w:gridCol w:w="910"/>
        <w:gridCol w:w="1010"/>
      </w:tblGrid>
      <w:tr>
        <w:tblPrEx>
          <w:tblCellMar>
            <w:top w:w="0" w:type="dxa"/>
            <w:left w:w="108" w:type="dxa"/>
            <w:bottom w:w="0" w:type="dxa"/>
            <w:right w:w="108" w:type="dxa"/>
          </w:tblCellMar>
        </w:tblPrEx>
        <w:trPr>
          <w:trHeight w:val="270" w:hRule="atLeast"/>
        </w:trPr>
        <w:tc>
          <w:tcPr>
            <w:tcW w:w="9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1837"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产品名称</w:t>
            </w:r>
          </w:p>
        </w:tc>
        <w:tc>
          <w:tcPr>
            <w:tcW w:w="363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技术规格</w:t>
            </w:r>
          </w:p>
        </w:tc>
        <w:tc>
          <w:tcPr>
            <w:tcW w:w="91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单位</w:t>
            </w:r>
          </w:p>
        </w:tc>
        <w:tc>
          <w:tcPr>
            <w:tcW w:w="101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备注</w:t>
            </w:r>
          </w:p>
        </w:tc>
      </w:tr>
      <w:tr>
        <w:tblPrEx>
          <w:tblCellMar>
            <w:top w:w="0" w:type="dxa"/>
            <w:left w:w="108" w:type="dxa"/>
            <w:bottom w:w="0" w:type="dxa"/>
            <w:right w:w="108" w:type="dxa"/>
          </w:tblCellMar>
        </w:tblPrEx>
        <w:trPr>
          <w:trHeight w:val="765" w:hRule="atLeast"/>
        </w:trPr>
        <w:tc>
          <w:tcPr>
            <w:tcW w:w="91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837"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2米高熔配一体型光纤配线架</w:t>
            </w:r>
          </w:p>
        </w:tc>
        <w:tc>
          <w:tcPr>
            <w:tcW w:w="3638" w:type="dxa"/>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高度为2000mm，包含架体（带侧面理线架）、底座、光缆固定汇流接地组件、安装必备配件，不配置子框、托盘。</w:t>
            </w:r>
          </w:p>
        </w:tc>
        <w:tc>
          <w:tcPr>
            <w:tcW w:w="910" w:type="dxa"/>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　只</w:t>
            </w:r>
          </w:p>
        </w:tc>
        <w:tc>
          <w:tcPr>
            <w:tcW w:w="1010"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576芯</w:t>
            </w:r>
          </w:p>
        </w:tc>
      </w:tr>
      <w:tr>
        <w:tblPrEx>
          <w:tblCellMar>
            <w:top w:w="0" w:type="dxa"/>
            <w:left w:w="108" w:type="dxa"/>
            <w:bottom w:w="0" w:type="dxa"/>
            <w:right w:w="108" w:type="dxa"/>
          </w:tblCellMar>
        </w:tblPrEx>
        <w:trPr>
          <w:trHeight w:val="975" w:hRule="atLeast"/>
        </w:trPr>
        <w:tc>
          <w:tcPr>
            <w:tcW w:w="91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2</w:t>
            </w:r>
          </w:p>
        </w:tc>
        <w:tc>
          <w:tcPr>
            <w:tcW w:w="1837"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12芯熔配一体化托盘</w:t>
            </w:r>
          </w:p>
        </w:tc>
        <w:tc>
          <w:tcPr>
            <w:tcW w:w="3638" w:type="dxa"/>
            <w:tcBorders>
              <w:top w:val="nil"/>
              <w:left w:val="nil"/>
              <w:bottom w:val="single" w:color="auto" w:sz="4" w:space="0"/>
              <w:right w:val="single" w:color="auto" w:sz="4"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12芯熔配一体化托盘，满配束状尾纤、SC/APC适配器，防尘帽为透明色。</w:t>
            </w:r>
          </w:p>
        </w:tc>
        <w:tc>
          <w:tcPr>
            <w:tcW w:w="910" w:type="dxa"/>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Cs w:val="21"/>
              </w:rPr>
            </w:pPr>
            <w:r>
              <w:rPr>
                <w:rFonts w:hint="eastAsia" w:ascii="宋体" w:hAnsi="宋体" w:cs="宋体"/>
                <w:color w:val="000000"/>
                <w:kern w:val="0"/>
                <w:szCs w:val="21"/>
              </w:rPr>
              <w:t>　只</w:t>
            </w:r>
          </w:p>
        </w:tc>
        <w:tc>
          <w:tcPr>
            <w:tcW w:w="1010"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配</w:t>
            </w:r>
            <w:r>
              <w:rPr>
                <w:rFonts w:hint="eastAsia" w:ascii="宋体" w:hAnsi="宋体" w:cs="宋体"/>
                <w:color w:val="000000"/>
                <w:kern w:val="0"/>
                <w:sz w:val="22"/>
                <w:szCs w:val="22"/>
                <w:highlight w:val="none"/>
                <w:lang w:val="en-US" w:eastAsia="zh-CN"/>
              </w:rPr>
              <w:t>28</w:t>
            </w:r>
            <w:r>
              <w:rPr>
                <w:rFonts w:hint="eastAsia" w:ascii="宋体" w:hAnsi="宋体" w:cs="宋体"/>
                <w:color w:val="000000"/>
                <w:kern w:val="0"/>
                <w:sz w:val="22"/>
                <w:szCs w:val="22"/>
                <w:highlight w:val="none"/>
              </w:rPr>
              <w:t>只</w:t>
            </w:r>
          </w:p>
        </w:tc>
      </w:tr>
      <w:tr>
        <w:tblPrEx>
          <w:tblCellMar>
            <w:top w:w="0" w:type="dxa"/>
            <w:left w:w="108" w:type="dxa"/>
            <w:bottom w:w="0" w:type="dxa"/>
            <w:right w:w="108" w:type="dxa"/>
          </w:tblCellMar>
        </w:tblPrEx>
        <w:trPr>
          <w:trHeight w:val="510" w:hRule="atLeast"/>
        </w:trPr>
        <w:tc>
          <w:tcPr>
            <w:tcW w:w="91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3</w:t>
            </w:r>
          </w:p>
        </w:tc>
        <w:tc>
          <w:tcPr>
            <w:tcW w:w="1837"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1分4光分路器</w:t>
            </w:r>
          </w:p>
        </w:tc>
        <w:tc>
          <w:tcPr>
            <w:tcW w:w="363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单层托盘式PLC全波段尾纤输出型光分路器，配置2组1分4</w:t>
            </w:r>
          </w:p>
        </w:tc>
        <w:tc>
          <w:tcPr>
            <w:tcW w:w="91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只</w:t>
            </w:r>
          </w:p>
        </w:tc>
        <w:tc>
          <w:tcPr>
            <w:tcW w:w="1010" w:type="dxa"/>
            <w:tcBorders>
              <w:top w:val="nil"/>
              <w:left w:val="nil"/>
              <w:bottom w:val="single" w:color="auto" w:sz="4" w:space="0"/>
              <w:right w:val="single" w:color="auto" w:sz="4" w:space="0"/>
            </w:tcBorders>
            <w:noWrap w:val="0"/>
            <w:vAlign w:val="bottom"/>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10" w:hRule="atLeast"/>
        </w:trPr>
        <w:tc>
          <w:tcPr>
            <w:tcW w:w="91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837"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1分16光分路器</w:t>
            </w:r>
          </w:p>
        </w:tc>
        <w:tc>
          <w:tcPr>
            <w:tcW w:w="3638"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单层托盘式PLC全波段尾纤输出型光分路器，配置</w:t>
            </w:r>
            <w:r>
              <w:rPr>
                <w:rFonts w:hint="eastAsia" w:ascii="宋体" w:hAnsi="宋体" w:cs="宋体"/>
                <w:color w:val="auto"/>
                <w:kern w:val="0"/>
                <w:szCs w:val="21"/>
                <w:lang w:val="en-US" w:eastAsia="zh-CN"/>
              </w:rPr>
              <w:t>1</w:t>
            </w:r>
            <w:r>
              <w:rPr>
                <w:rFonts w:hint="eastAsia" w:ascii="宋体" w:hAnsi="宋体" w:cs="宋体"/>
                <w:color w:val="auto"/>
                <w:kern w:val="0"/>
                <w:szCs w:val="21"/>
              </w:rPr>
              <w:t>组1分16</w:t>
            </w:r>
          </w:p>
        </w:tc>
        <w:tc>
          <w:tcPr>
            <w:tcW w:w="91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只</w:t>
            </w:r>
          </w:p>
        </w:tc>
        <w:tc>
          <w:tcPr>
            <w:tcW w:w="1010" w:type="dxa"/>
            <w:tcBorders>
              <w:top w:val="nil"/>
              <w:left w:val="nil"/>
              <w:bottom w:val="single" w:color="auto" w:sz="4" w:space="0"/>
              <w:right w:val="single" w:color="auto" w:sz="4" w:space="0"/>
            </w:tcBorders>
            <w:noWrap w:val="0"/>
            <w:vAlign w:val="bottom"/>
          </w:tcPr>
          <w:p>
            <w:pPr>
              <w:widowControl/>
              <w:jc w:val="left"/>
              <w:rPr>
                <w:rFonts w:hint="eastAsia" w:ascii="宋体" w:hAnsi="宋体" w:cs="宋体"/>
                <w:color w:val="000000"/>
                <w:kern w:val="0"/>
                <w:sz w:val="22"/>
                <w:szCs w:val="22"/>
                <w:highlight w:val="none"/>
              </w:rPr>
            </w:pPr>
            <w:r>
              <w:rPr>
                <w:rFonts w:hint="eastAsia" w:ascii="宋体" w:hAnsi="宋体" w:cs="宋体"/>
                <w:color w:val="000000"/>
                <w:kern w:val="0"/>
                <w:sz w:val="22"/>
                <w:szCs w:val="22"/>
                <w:highlight w:val="none"/>
              </w:rPr>
              <w:t>满配共4层托盘</w:t>
            </w:r>
            <w:r>
              <w:rPr>
                <w:rFonts w:hint="eastAsia" w:ascii="宋体" w:hAnsi="宋体" w:cs="宋体"/>
                <w:color w:val="000000"/>
                <w:kern w:val="0"/>
                <w:sz w:val="22"/>
                <w:szCs w:val="22"/>
                <w:highlight w:val="none"/>
                <w:lang w:eastAsia="zh-CN"/>
              </w:rPr>
              <w:t>、</w:t>
            </w:r>
            <w:r>
              <w:rPr>
                <w:rFonts w:hint="eastAsia" w:ascii="宋体" w:hAnsi="宋体" w:cs="宋体"/>
                <w:color w:val="000000"/>
                <w:kern w:val="0"/>
                <w:szCs w:val="21"/>
                <w:highlight w:val="none"/>
                <w:lang w:val="en-US" w:eastAsia="zh-CN"/>
              </w:rPr>
              <w:t>4</w:t>
            </w:r>
            <w:r>
              <w:rPr>
                <w:rFonts w:hint="eastAsia" w:ascii="宋体" w:hAnsi="宋体" w:cs="宋体"/>
                <w:color w:val="000000"/>
                <w:kern w:val="0"/>
                <w:szCs w:val="21"/>
                <w:highlight w:val="none"/>
              </w:rPr>
              <w:t>组1分16</w:t>
            </w:r>
          </w:p>
        </w:tc>
      </w:tr>
      <w:tr>
        <w:tblPrEx>
          <w:tblCellMar>
            <w:top w:w="0" w:type="dxa"/>
            <w:left w:w="108" w:type="dxa"/>
            <w:bottom w:w="0" w:type="dxa"/>
            <w:right w:w="108" w:type="dxa"/>
          </w:tblCellMar>
        </w:tblPrEx>
        <w:trPr>
          <w:trHeight w:val="510" w:hRule="atLeast"/>
        </w:trPr>
        <w:tc>
          <w:tcPr>
            <w:tcW w:w="91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5</w:t>
            </w:r>
          </w:p>
        </w:tc>
        <w:tc>
          <w:tcPr>
            <w:tcW w:w="1837"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12芯熔配一体化托盘</w:t>
            </w:r>
          </w:p>
        </w:tc>
        <w:tc>
          <w:tcPr>
            <w:tcW w:w="363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满配束状尾纤、SC/APC适配器，防尘帽为透明色</w:t>
            </w:r>
          </w:p>
        </w:tc>
        <w:tc>
          <w:tcPr>
            <w:tcW w:w="91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只</w:t>
            </w:r>
          </w:p>
        </w:tc>
        <w:tc>
          <w:tcPr>
            <w:tcW w:w="1010" w:type="dxa"/>
            <w:tcBorders>
              <w:top w:val="nil"/>
              <w:left w:val="nil"/>
              <w:bottom w:val="single" w:color="auto" w:sz="4" w:space="0"/>
              <w:right w:val="single" w:color="auto" w:sz="4" w:space="0"/>
            </w:tcBorders>
            <w:noWrap w:val="0"/>
            <w:vAlign w:val="bottom"/>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不计入总价</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30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highlight w:val="none"/>
        </w:rPr>
        <w:t>本次招标合同有效期为：每年采取不低于一次的二次询价，截至再次招标公示中标人为止。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交货验收合格后5年。</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14687"/>
      <w:bookmarkStart w:id="8" w:name="_Toc9017235"/>
      <w:bookmarkStart w:id="9" w:name="_Toc319769474"/>
      <w:bookmarkStart w:id="10" w:name="_Toc184704556"/>
      <w:bookmarkStart w:id="11" w:name="_Toc319394715"/>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highlight w:val="none"/>
        </w:rPr>
      </w:pPr>
      <w:r>
        <w:rPr>
          <w:rFonts w:hint="eastAsia" w:ascii="宋体" w:hAnsi="宋体"/>
          <w:szCs w:val="21"/>
          <w:highlight w:val="none"/>
        </w:rPr>
        <w:t>投标人</w:t>
      </w:r>
      <w:r>
        <w:rPr>
          <w:rFonts w:hint="eastAsia" w:ascii="宋体" w:hAnsi="宋体"/>
          <w:szCs w:val="21"/>
          <w:highlight w:val="none"/>
          <w:lang w:val="en-US" w:eastAsia="zh-CN"/>
        </w:rPr>
        <w:t>拟投标产品</w:t>
      </w:r>
      <w:r>
        <w:rPr>
          <w:rFonts w:hint="eastAsia" w:ascii="宋体" w:hAnsi="宋体"/>
          <w:szCs w:val="21"/>
          <w:highlight w:val="none"/>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光纤配线架</w:t>
      </w:r>
      <w:r>
        <w:rPr>
          <w:rFonts w:hint="eastAsia" w:ascii="宋体" w:hAnsi="宋体" w:eastAsiaTheme="minorEastAsia" w:cstheme="minorBidi"/>
          <w:szCs w:val="21"/>
          <w:u w:val="single"/>
        </w:rPr>
        <w:t>产品</w:t>
      </w:r>
      <w:r>
        <w:rPr>
          <w:rFonts w:hint="eastAsia" w:ascii="宋体" w:hAnsi="宋体" w:eastAsiaTheme="minorEastAsia" w:cstheme="minorBidi"/>
          <w:szCs w:val="21"/>
          <w:u w:val="single"/>
          <w:lang w:val="en-US" w:eastAsia="zh-CN"/>
        </w:rPr>
        <w:t>在通信行业</w:t>
      </w:r>
      <w:r>
        <w:rPr>
          <w:rFonts w:hint="eastAsia" w:ascii="宋体" w:hAnsi="宋体" w:eastAsiaTheme="minorEastAsia" w:cstheme="minorBidi"/>
          <w:szCs w:val="21"/>
          <w:u w:val="single"/>
        </w:rPr>
        <w:t>销售业绩，业绩累计金额达到</w:t>
      </w:r>
      <w:r>
        <w:rPr>
          <w:rFonts w:hint="eastAsia" w:ascii="宋体" w:hAnsi="宋体" w:eastAsiaTheme="minorEastAsia" w:cstheme="minorBidi"/>
          <w:szCs w:val="21"/>
          <w:u w:val="single"/>
          <w:lang w:val="en-US" w:eastAsia="zh-CN"/>
        </w:rPr>
        <w:t>200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18842"/>
      <w:bookmarkStart w:id="13" w:name="_Toc9017236"/>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9017237"/>
      <w:bookmarkStart w:id="15" w:name="_Toc3146"/>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9017238"/>
      <w:bookmarkStart w:id="17" w:name="_Toc26503"/>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3</w:t>
      </w:r>
      <w:r>
        <w:rPr>
          <w:rFonts w:hint="eastAsia" w:ascii="宋体" w:hAnsi="宋体"/>
          <w:szCs w:val="21"/>
        </w:rPr>
        <w:t>日</w:t>
      </w:r>
      <w:r>
        <w:rPr>
          <w:rFonts w:hint="eastAsia" w:ascii="宋体" w:hAnsi="宋体"/>
          <w:szCs w:val="21"/>
          <w:lang w:val="en-US" w:eastAsia="zh-CN"/>
        </w:rPr>
        <w:t>14</w:t>
      </w:r>
      <w:r>
        <w:rPr>
          <w:rFonts w:hint="eastAsia" w:ascii="宋体" w:hAnsi="宋体"/>
          <w:szCs w:val="21"/>
        </w:rPr>
        <w:t>时</w:t>
      </w:r>
      <w:r>
        <w:rPr>
          <w:rFonts w:hint="eastAsia" w:ascii="宋体" w:hAnsi="宋体"/>
          <w:szCs w:val="21"/>
          <w:lang w:val="en-US" w:eastAsia="zh-CN"/>
        </w:rPr>
        <w:t>0</w:t>
      </w:r>
      <w:r>
        <w:rPr>
          <w:rFonts w:hint="eastAsia" w:ascii="宋体" w:hAnsi="宋体"/>
          <w:szCs w:val="21"/>
        </w:rPr>
        <w:t>0分</w:t>
      </w:r>
      <w:r>
        <w:rPr>
          <w:rFonts w:hint="eastAsia" w:ascii="宋体" w:hAnsi="宋体"/>
        </w:rPr>
        <w:t>。</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7973517"/>
      <w:bookmarkStart w:id="19" w:name="_Toc6844083"/>
      <w:bookmarkStart w:id="20" w:name="_Toc9017239"/>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本次拟采购的全部产品样品及配件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9017241"/>
      <w:bookmarkStart w:id="23" w:name="_Toc7948"/>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adjustRightInd w:val="0"/>
        <w:snapToGrid w:val="0"/>
        <w:spacing w:line="440" w:lineRule="exact"/>
        <w:ind w:firstLine="3990" w:firstLineChars="1900"/>
        <w:rPr>
          <w:rFonts w:ascii="宋体" w:hAnsi="宋体"/>
          <w:szCs w:val="21"/>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2020年9月14日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22651"/>
      <w:docPartObj>
        <w:docPartGallery w:val="autotext"/>
      </w:docPartObj>
    </w:sdtPr>
    <w:sdtContent>
      <w:p>
        <w:pPr>
          <w:pStyle w:val="4"/>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01ADF"/>
    <w:rsid w:val="1F301ADF"/>
    <w:rsid w:val="337B3131"/>
    <w:rsid w:val="3D6A2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2020-09-11T03:44:00Z</dcterms:created>
  <dc:creator>CT</dc:creator>
  <cp:lastModifiedBy>CT</cp:lastModifiedBy>
  <dcterms:modified xsi:type="dcterms:W3CDTF">2020-09-13T06:02:39Z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