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江苏有线如东分公司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双甸镇党员冬训视频会议系统改造项目</w:t>
      </w:r>
      <w:r>
        <w:rPr>
          <w:rFonts w:hint="eastAsia" w:ascii="仿宋" w:hAnsi="仿宋" w:eastAsia="仿宋" w:cs="仿宋_GB2312"/>
          <w:b/>
          <w:sz w:val="44"/>
          <w:szCs w:val="44"/>
        </w:rPr>
        <w:t>招标公告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我公司以下项目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1.采购人：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江苏有线网络发展有限责任公司如东分公司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2.采购项目名称：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双甸镇党员冬训视频会议系统改造项目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3.采购项目内容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：详见清单 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4.采购方式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5.应标供应商资格要求（必须同时符合以下条件）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保证服务质量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及售后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响应时效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注册地位于江苏省南通市境内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）符合《中华人民共和国政府采购法》第22条规定；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投标人必须是中国境内注册的独立法人，具有独立承担民事责任的能力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）本项目不接受联合体参与投标。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6.其他资格要求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未被“信用中国”网站（www.creditchina.gov.cn）列入失信被执行人、重大税收违法案件当事人名单、政府采购严重失信行为记录名单，近三年内无行政处罚及其他失信行为。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获取采购文件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日至202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江苏有线如东分公司十楼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本工程资料费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00元/套，无论中标与否，不予退还。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8.报名需携带的资料：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（1）企业法人营业执照复印件（加盖投标人公章）；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（2）法定代表人授权书原件（附件二）（加盖投标人公章）；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供应商报名截止时间：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:00。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供应商投标截止时间：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日下午14: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0。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投标文件递交地点：江苏有线如东分公司1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楼会议室 。</w:t>
      </w:r>
    </w:p>
    <w:p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.购买采购文件的银行信息：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户名：江苏有线网络发展有限责任公司如东分公司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地址：如东掘港镇长江路29号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开户行：中行城东支行        账号：510566056165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欢迎合格供应商与我公司联系报名，并领取本项目采购文件 。       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联系人：缪逸飞，联系电话：0513-6892767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10、设备清单</w:t>
      </w:r>
    </w:p>
    <w:tbl>
      <w:tblPr>
        <w:tblStyle w:val="5"/>
        <w:tblW w:w="6107" w:type="pct"/>
        <w:tblInd w:w="-10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16"/>
        <w:gridCol w:w="5776"/>
        <w:gridCol w:w="862"/>
        <w:gridCol w:w="962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一、视频会议系统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分会场视频会议终端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全新设计的TVUI，操作简便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将视频会议和无线传屏结合在一个解决方案，带来畅快简洁的用户数据共享体验。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智能降噪、自动回声抑制、自动语音增益控制、均衡器、动态精准拾音技术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一体化设计：单台设备集成1080P高清摄像机、阵列麦克风、编解码器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超强解码：具有H.264/H.265 4K@30fps解码能力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视频编解码协议   H.265、H.264HP、H.264MP、H.264 SVC、MPEG-4、VP8、VP9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音频编解码协议   G722、AMR-WB、Opus 8K~48Khz采样率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网络传输协议    UDP、TCP、HTTP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网络协议    IPV4、IPV6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音视频特性：活动视频分辨率  1920x1080，1280x720，960x540，640x360，320x180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数据内容分辨率： 1920x1080，1440x900，1280x800，1024x768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视频处理技术：画面自动降噪、图像效果增强、图像前后处理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音频处理技术：回音消除、音频降噪、自动增益、静音检测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画面显示模式 ：支持全屏、焦点和均分显示模式，最大4分屏画面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音频输入接口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1x 阵列麦克风，支持6米拾音、1 x 3.5mm 麦克风输入，支持偏置电压供电（和 3.5mm 输出为同一个接口）、1 x 3.5mm 线路输入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音频输出接口：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 x 3.5mm 线路输出（和3.5mm 输入为同一个接口）、1 x HDMI 内嵌音频输出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视频输入：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内置1080p30 编码摄像机,传感器：1/2.8 英寸， CMOS，最大像素207 万、扫描方式：逐行 、镜头：焦距f=2.8mm，水平视场角：90°、编码：H.264 AVC、SVC / H.265 1080P30 + MJPEG 1080P30、无线投屏器: PX200 1080p30辅流，H.264 AVC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视频输出接口：1×HDMI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USB接口：2×USB 2.0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网络接口：1 x RJ45: 10/100 Base-T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好视通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主会场视频会议终端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配备1台4米最佳拾音的M350全向麦和1台10倍光学变焦1080P的H310U 高清摄像机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功能强大、体积小巧、携带方便的嵌入式视频会议终端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◆ 26键专业视频会议遥控器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◆ 将视频会议和无线传屏结合在一个解决方案，带来畅快简洁的用户体验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智能降噪、自动回声抑制、自动语音增益控制均衡器、动态精准拾音技术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语音激励自动识别在说话中的参会者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支持1路1080P30高清摄像机编码输入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◆ 支持HDMI、VGA高清显示输出，支持会议分屏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◆ 支持无线投屏分享会议内容                                                                                         ◆ 采用全新的统一UI界面遥控器交互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支持强大的网络自适应能力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支持多种布局切换，全会议场景覆盖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◆ 支持丰富的会议管理功能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会议摄像机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1/2.8"高品质CMOS，有效像素207万像素，最高支持500万像素，10倍光学X12倍数字变焦，视角62.5°视频格式支持USB3.0：1080p30/25；720p60/50/30/25/15；704*576p30；  720*576p30；640*480p30/p25；352*288p30；320*240p30； 176*144p30； 160*120p30；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兼容USB2.0：720p15；704*576p30；720*576p30；640*480p30/p25；352*288p30；320*240p30；176*144p30；160*120p30； 最多匹配128个预置位/超静音云台/支持H.264视频压缩/支持低功耗/支持VISCA/PELCO-D/PELCO-P控制协议/支持RS232级联//水平-165°～+165°/垂直-35°～+90°/OSD菜单/支持RS-232C,视频输出接口：USB3.0，支持射频遥控器/桌面安装/吸顶安装/壁挂安装，并提供标准三角架安装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会议麦克风：M350采用先进的语音处理技术，提供48K采样率，消回音长度达500ms。音质清晰亮丽，智能降噪完全消除杂音，语音还原高度保真。内置4路高清麦克风阵列，最佳采集距离4米，最远可以支持5-8米，声音逼真、清晰自然。会议参与者可以轻松交谈，且远程参会者也能清晰听到对话内容，仿佛在同一间会议室开会。音量等级高达85分贝足以覆盖25平米的会议空间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好视通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主会场MCU服务器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视频编码：支持MPEG4、H.264视频编码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视频分辨率：支持1080P/720P/576P/480P/4CIF/CIF/QCIF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视频画面：支持1/2/4/6/9/12/16/25/36/49/64/画中画等多种组合分屏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双流显示：支持双流多画面功能；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网络接口：双千兆1000M网口，支持多IP接入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尺寸：430 mm X 500 mm X 88 mm（长X宽X高）标准2U；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重量：约20kg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单机最高支持200并发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好视通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视频会议软件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支持1920*1080/最多同时广播视频：16路/视频录制/文件分发/电子白板/支持屏幕广播/支持媒体共享/会议录制/文字聊天/横幅字幕 /会议分组/多房间切换/支持视频轮巡//支持自由讨论模式/主持人模式/支持点名签到/远程控制、双显/布局模式：培训布局,标准布局，视频布局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好视通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专用移动支架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铝合金3节脚架，-75+90度俯仰调节，最大承重5KG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国标RVV3*1.5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恒通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PVC20阻燃线管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PDU电源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四位电源插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防水网线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国标无氧铜超五防水类网线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恒通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视频线缆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HDMI 4K高清线缆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音频跳线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小3.5音频头转6.5或双莲花头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白色含底盒标配超五类国标网络模组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恒通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2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综合布线各型接插件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设备小计</w:t>
            </w:r>
          </w:p>
        </w:tc>
        <w:tc>
          <w:tcPr>
            <w:tcW w:w="36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36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设备小计1*20%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mNWJlNjY0YmZjZGZhMmRhMzkwNTZlOWI1ZjFlYjkifQ=="/>
  </w:docVars>
  <w:rsids>
    <w:rsidRoot w:val="00FC2BA4"/>
    <w:rsid w:val="000008FA"/>
    <w:rsid w:val="00017B6B"/>
    <w:rsid w:val="00324478"/>
    <w:rsid w:val="003459F2"/>
    <w:rsid w:val="003B3377"/>
    <w:rsid w:val="003C00B3"/>
    <w:rsid w:val="00600F83"/>
    <w:rsid w:val="006C6FCE"/>
    <w:rsid w:val="006F7F78"/>
    <w:rsid w:val="0075178C"/>
    <w:rsid w:val="007D2868"/>
    <w:rsid w:val="008768F6"/>
    <w:rsid w:val="008C0E4B"/>
    <w:rsid w:val="008E5543"/>
    <w:rsid w:val="00910158"/>
    <w:rsid w:val="0097674E"/>
    <w:rsid w:val="00AB1310"/>
    <w:rsid w:val="00BC20B2"/>
    <w:rsid w:val="00C819D6"/>
    <w:rsid w:val="00CC4218"/>
    <w:rsid w:val="00DE0837"/>
    <w:rsid w:val="00E65C98"/>
    <w:rsid w:val="00FC2BA4"/>
    <w:rsid w:val="043C50D5"/>
    <w:rsid w:val="073E4DB0"/>
    <w:rsid w:val="78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3721</Words>
  <Characters>21212</Characters>
  <Lines>176</Lines>
  <Paragraphs>49</Paragraphs>
  <TotalTime>0</TotalTime>
  <ScaleCrop>false</ScaleCrop>
  <LinksUpToDate>false</LinksUpToDate>
  <CharactersWithSpaces>24884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2023-06-25T08:39:00Z</dcterms:created>
  <dc:creator>袁榕浩</dc:creator>
  <cp:lastModifiedBy>袁榕浩</cp:lastModifiedBy>
  <dcterms:modified xsi:type="dcterms:W3CDTF">2024-01-10T03:47:56Z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7CD24B906E594BFD904D908DE5DAC2CA_12</vt:lpwstr>
  </property>
</Properties>
</file>