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Toc227057880"/>
      <w:r>
        <w:rPr>
          <w:rFonts w:hint="eastAsia" w:ascii="黑体" w:hAnsi="宋体" w:eastAsia="黑体"/>
          <w:sz w:val="44"/>
          <w:szCs w:val="44"/>
        </w:rPr>
        <w:t>企业信息化虚拟平台扩容项目</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30</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竞争性磋商响应文件格式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2" w:name="_Toc69378615"/>
      <w:r>
        <w:rPr>
          <w:rFonts w:hint="eastAsia"/>
          <w:b/>
          <w:sz w:val="36"/>
          <w:szCs w:val="36"/>
        </w:rPr>
        <w:t xml:space="preserve">第一章 </w:t>
      </w:r>
      <w:bookmarkStart w:id="3" w:name="_Hlk105764323"/>
      <w:r>
        <w:rPr>
          <w:rFonts w:hint="eastAsia"/>
          <w:b/>
          <w:sz w:val="36"/>
          <w:szCs w:val="36"/>
        </w:rPr>
        <w:t>竞争性磋商公告</w:t>
      </w:r>
      <w:bookmarkEnd w:id="2"/>
    </w:p>
    <w:bookmarkEnd w:id="1"/>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江苏省广电有线信息网络股份有限公司就企业信息化虚拟平台扩容项目组织竞争性磋商采购，现欢迎符合资格条件的供应商参加报价和磋商。</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101" w:name="_GoBack"/>
      <w:r>
        <w:rPr>
          <w:rFonts w:hint="eastAsia" w:ascii="宋体" w:hAnsi="宋体"/>
          <w:sz w:val="24"/>
        </w:rPr>
        <w:t>江苏省广电有线信息网络股份有限公司企业信息化虚拟平台扩容采购</w:t>
      </w:r>
      <w:bookmarkEnd w:id="101"/>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26" w:type="dxa"/>
            <w:vAlign w:val="center"/>
          </w:tcPr>
          <w:p>
            <w:pPr>
              <w:spacing w:line="400" w:lineRule="exact"/>
              <w:jc w:val="center"/>
              <w:rPr>
                <w:rFonts w:ascii="Calibri" w:hAnsi="Calibri"/>
                <w:b/>
                <w:color w:val="000000"/>
                <w:sz w:val="24"/>
              </w:rPr>
            </w:pPr>
            <w:r>
              <w:rPr>
                <w:rFonts w:hint="eastAsia" w:ascii="Calibri" w:hAnsi="Calibri"/>
                <w:b/>
                <w:color w:val="262626"/>
                <w:sz w:val="24"/>
              </w:rPr>
              <w:t>序号</w:t>
            </w:r>
          </w:p>
        </w:tc>
        <w:tc>
          <w:tcPr>
            <w:tcW w:w="4703" w:type="dxa"/>
            <w:vAlign w:val="center"/>
          </w:tcPr>
          <w:p>
            <w:pPr>
              <w:spacing w:line="400" w:lineRule="exact"/>
              <w:jc w:val="center"/>
              <w:rPr>
                <w:rFonts w:ascii="Calibri" w:hAnsi="Calibri"/>
                <w:b/>
                <w:color w:val="000000"/>
                <w:sz w:val="24"/>
              </w:rPr>
            </w:pPr>
            <w:r>
              <w:rPr>
                <w:rFonts w:hint="eastAsia" w:ascii="Calibri" w:hAnsi="Calibri"/>
                <w:b/>
                <w:color w:val="000000"/>
                <w:sz w:val="24"/>
              </w:rPr>
              <w:t>采购内容</w:t>
            </w:r>
          </w:p>
        </w:tc>
        <w:tc>
          <w:tcPr>
            <w:tcW w:w="2410" w:type="dxa"/>
            <w:vAlign w:val="center"/>
          </w:tcPr>
          <w:p>
            <w:pPr>
              <w:spacing w:line="400" w:lineRule="exact"/>
              <w:jc w:val="center"/>
              <w:rPr>
                <w:rFonts w:ascii="Calibri" w:hAnsi="Calibri"/>
                <w:b/>
                <w:color w:val="000000"/>
                <w:sz w:val="24"/>
              </w:rPr>
            </w:pPr>
            <w:r>
              <w:rPr>
                <w:rFonts w:hint="eastAsia" w:ascii="Calibri" w:hAnsi="Calibri"/>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vAlign w:val="center"/>
          </w:tcPr>
          <w:p>
            <w:pPr>
              <w:spacing w:line="400" w:lineRule="exact"/>
              <w:jc w:val="center"/>
              <w:rPr>
                <w:color w:val="000000"/>
                <w:sz w:val="24"/>
              </w:rPr>
            </w:pPr>
            <w:r>
              <w:rPr>
                <w:color w:val="000000"/>
                <w:sz w:val="24"/>
              </w:rPr>
              <w:t>1</w:t>
            </w:r>
          </w:p>
        </w:tc>
        <w:tc>
          <w:tcPr>
            <w:tcW w:w="4703" w:type="dxa"/>
            <w:vAlign w:val="center"/>
          </w:tcPr>
          <w:p>
            <w:pPr>
              <w:spacing w:line="400" w:lineRule="exact"/>
              <w:jc w:val="left"/>
              <w:rPr>
                <w:color w:val="000000"/>
                <w:sz w:val="24"/>
              </w:rPr>
            </w:pPr>
            <w:r>
              <w:rPr>
                <w:rFonts w:hint="eastAsia"/>
                <w:sz w:val="24"/>
              </w:rPr>
              <w:t>Vmware vSphere</w:t>
            </w:r>
            <w:r>
              <w:rPr>
                <w:sz w:val="24"/>
              </w:rPr>
              <w:t xml:space="preserve"> </w:t>
            </w:r>
            <w:r>
              <w:rPr>
                <w:rFonts w:hint="eastAsia"/>
                <w:sz w:val="24"/>
              </w:rPr>
              <w:t>C</w:t>
            </w:r>
            <w:r>
              <w:rPr>
                <w:sz w:val="24"/>
              </w:rPr>
              <w:t>PU</w:t>
            </w:r>
            <w:r>
              <w:rPr>
                <w:rFonts w:hint="eastAsia"/>
                <w:sz w:val="24"/>
              </w:rPr>
              <w:t>授权</w:t>
            </w:r>
          </w:p>
        </w:tc>
        <w:tc>
          <w:tcPr>
            <w:tcW w:w="2410" w:type="dxa"/>
            <w:vAlign w:val="center"/>
          </w:tcPr>
          <w:p>
            <w:pPr>
              <w:spacing w:line="400" w:lineRule="exact"/>
              <w:jc w:val="left"/>
              <w:rPr>
                <w:color w:val="000000"/>
                <w:sz w:val="24"/>
              </w:rPr>
            </w:pPr>
            <w:r>
              <w:rPr>
                <w:color w:val="000000" w:themeColor="text1"/>
                <w:sz w:val="24"/>
                <w14:textFill>
                  <w14:solidFill>
                    <w14:schemeClr w14:val="tx1"/>
                  </w14:solidFill>
                </w14:textFill>
              </w:rPr>
              <w:t>13</w:t>
            </w:r>
            <w:r>
              <w:rPr>
                <w:rFonts w:hint="eastAsia"/>
                <w:color w:val="000000" w:themeColor="text1"/>
                <w:sz w:val="24"/>
                <w14:textFill>
                  <w14:solidFill>
                    <w14:schemeClr w14:val="tx1"/>
                  </w14:solidFill>
                </w14:textFill>
              </w:rPr>
              <w:t>个CPU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26" w:type="dxa"/>
            <w:vAlign w:val="center"/>
          </w:tcPr>
          <w:p>
            <w:pPr>
              <w:spacing w:line="400" w:lineRule="exact"/>
              <w:jc w:val="center"/>
              <w:rPr>
                <w:color w:val="000000"/>
                <w:sz w:val="24"/>
              </w:rPr>
            </w:pPr>
            <w:r>
              <w:rPr>
                <w:rFonts w:hint="eastAsia"/>
                <w:color w:val="000000"/>
                <w:sz w:val="24"/>
              </w:rPr>
              <w:t>2</w:t>
            </w:r>
          </w:p>
        </w:tc>
        <w:tc>
          <w:tcPr>
            <w:tcW w:w="4703" w:type="dxa"/>
            <w:vAlign w:val="center"/>
          </w:tcPr>
          <w:p>
            <w:pPr>
              <w:spacing w:line="400" w:lineRule="exact"/>
              <w:jc w:val="left"/>
              <w:rPr>
                <w:rFonts w:ascii="宋体" w:hAnsi="宋体"/>
                <w:sz w:val="24"/>
              </w:rPr>
            </w:pPr>
            <w:bookmarkStart w:id="4" w:name="_Hlk105510746"/>
            <w:r>
              <w:rPr>
                <w:rFonts w:hint="eastAsia"/>
                <w:sz w:val="24"/>
              </w:rPr>
              <w:t>VMware vSphere许可软件1年技术支持服务</w:t>
            </w:r>
            <w:bookmarkEnd w:id="4"/>
          </w:p>
        </w:tc>
        <w:tc>
          <w:tcPr>
            <w:tcW w:w="2410" w:type="dxa"/>
            <w:vAlign w:val="center"/>
          </w:tcPr>
          <w:p>
            <w:pPr>
              <w:spacing w:line="400" w:lineRule="exact"/>
              <w:jc w:val="left"/>
              <w:rPr>
                <w:color w:val="000000"/>
                <w:sz w:val="24"/>
              </w:rPr>
            </w:pPr>
            <w:r>
              <w:rPr>
                <w:rFonts w:hint="eastAsia"/>
                <w:sz w:val="24"/>
              </w:rPr>
              <w:t>2</w:t>
            </w:r>
            <w:r>
              <w:rPr>
                <w:sz w:val="24"/>
              </w:rPr>
              <w:t>2</w:t>
            </w:r>
            <w:r>
              <w:rPr>
                <w:rFonts w:hint="eastAsia"/>
                <w:sz w:val="24"/>
              </w:rPr>
              <w:t>0个CPU</w:t>
            </w:r>
          </w:p>
        </w:tc>
      </w:tr>
    </w:tbl>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2.供应商所投产品须具有良好的业绩和经验，自201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w:t>
      </w:r>
      <w:r>
        <w:rPr>
          <w:rFonts w:hint="eastAsia" w:ascii="宋体" w:hAnsi="宋体" w:cs="宋体"/>
          <w:bCs/>
          <w:kern w:val="0"/>
          <w:sz w:val="24"/>
          <w:szCs w:val="22"/>
        </w:rPr>
        <w:t>出具VMware厂商针对本项目的授权文件</w:t>
      </w:r>
      <w:r>
        <w:rPr>
          <w:rFonts w:hint="eastAsia" w:ascii="宋体" w:hAnsi="宋体" w:cs="宋体"/>
          <w:kern w:val="0"/>
          <w:sz w:val="24"/>
          <w:szCs w:val="22"/>
        </w:rPr>
        <w:t>。（提供授权书原件并加盖公章）</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5</w:t>
      </w:r>
      <w:r>
        <w:rPr>
          <w:rFonts w:hint="eastAsia" w:ascii="宋体" w:hAnsi="宋体" w:cs="宋体"/>
          <w:kern w:val="0"/>
          <w:sz w:val="24"/>
          <w:szCs w:val="22"/>
        </w:rPr>
        <w:t>.供应商须保证，采购人在其本国使用供应商提供的产品及服务时，不存在任何已知的不合法的情形，也不存在任何已知的与第三方专利权、著作权、商标权或工业设计权相关的任何争议。如果有任何因采购人使用供应商提供的产品及服务而提起的侵权指控，供应商依法承担全部责任。</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10日至202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发放方式：竞争性磋商文件在报名后自行下载，请响应人联系采购人进行报名登记，具体报名方式为将确认磋商函加盖公司公章同时发至邮箱</w:t>
      </w:r>
      <w:r>
        <w:rPr>
          <w:rFonts w:ascii="宋体" w:hAnsi="宋体" w:cs="宋体"/>
          <w:color w:val="191919"/>
          <w:kern w:val="0"/>
          <w:sz w:val="24"/>
          <w:shd w:val="clear" w:color="auto" w:fill="FFFFFF"/>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项目联系人：采购部门-秦晋（025-8673152</w:t>
      </w:r>
      <w:r>
        <w:rPr>
          <w:rFonts w:ascii="宋体" w:hAnsi="宋体" w:cs="宋体"/>
          <w:color w:val="191919"/>
          <w:kern w:val="0"/>
          <w:sz w:val="24"/>
          <w:shd w:val="clear" w:color="auto" w:fill="FFFFFF"/>
        </w:rPr>
        <w:t>4</w:t>
      </w:r>
      <w:r>
        <w:rPr>
          <w:rFonts w:hint="eastAsia" w:ascii="宋体" w:hAnsi="宋体" w:cs="宋体"/>
          <w:color w:val="191919"/>
          <w:kern w:val="0"/>
          <w:sz w:val="24"/>
          <w:shd w:val="clear" w:color="auto" w:fill="FFFFFF"/>
        </w:rPr>
        <w:t>），需求部门-王真（025-8673</w:t>
      </w:r>
      <w:r>
        <w:rPr>
          <w:rFonts w:ascii="宋体" w:hAnsi="宋体" w:cs="宋体"/>
          <w:color w:val="191919"/>
          <w:kern w:val="0"/>
          <w:sz w:val="24"/>
          <w:shd w:val="clear" w:color="auto" w:fill="FFFFFF"/>
        </w:rPr>
        <w:t>1517</w:t>
      </w:r>
      <w:r>
        <w:rPr>
          <w:rFonts w:hint="eastAsia" w:ascii="宋体" w:hAnsi="宋体" w:cs="宋体"/>
          <w:color w:val="191919"/>
          <w:kern w:val="0"/>
          <w:sz w:val="24"/>
          <w:shd w:val="clear" w:color="auto" w:fill="FFFFFF"/>
        </w:rPr>
        <w:t>）</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22</w:t>
      </w:r>
      <w:r>
        <w:rPr>
          <w:rFonts w:hint="eastAsia" w:ascii="宋体" w:hAnsi="宋体" w:cs="宋体"/>
          <w:color w:val="191919"/>
          <w:kern w:val="0"/>
          <w:sz w:val="24"/>
          <w:shd w:val="clear" w:color="auto" w:fill="FFFFFF"/>
        </w:rPr>
        <w:t>日下午1</w:t>
      </w:r>
      <w:r>
        <w:rPr>
          <w:rFonts w:ascii="宋体" w:hAnsi="宋体" w:cs="宋体"/>
          <w:color w:val="191919"/>
          <w:kern w:val="0"/>
          <w:sz w:val="24"/>
          <w:shd w:val="clear" w:color="auto" w:fill="FFFFFF"/>
        </w:rPr>
        <w:t>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楼采购供应部。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秦晋，电话：025-8673152</w:t>
      </w:r>
      <w:r>
        <w:rPr>
          <w:rFonts w:ascii="宋体" w:hAnsi="宋体" w:cs="宋体"/>
          <w:color w:val="191919"/>
          <w:kern w:val="0"/>
          <w:sz w:val="24"/>
        </w:rPr>
        <w:t>4。</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22</w:t>
      </w:r>
      <w:r>
        <w:rPr>
          <w:rFonts w:hint="eastAsia" w:ascii="宋体" w:hAnsi="宋体" w:cs="宋体"/>
          <w:color w:val="191919"/>
          <w:kern w:val="0"/>
          <w:sz w:val="24"/>
          <w:shd w:val="clear" w:color="auto" w:fill="FFFFFF"/>
        </w:rPr>
        <w:t>日下午1</w:t>
      </w:r>
      <w:r>
        <w:rPr>
          <w:rFonts w:ascii="宋体" w:hAnsi="宋体" w:cs="宋体"/>
          <w:color w:val="191919"/>
          <w:kern w:val="0"/>
          <w:sz w:val="24"/>
          <w:shd w:val="clear" w:color="auto" w:fill="FFFFFF"/>
        </w:rPr>
        <w:t>4:30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6" w:name="bookmark1"/>
      <w:bookmarkEnd w:id="6"/>
      <w:r>
        <w:rPr>
          <w:rFonts w:hint="eastAsia" w:ascii="宋体" w:cs="宋体"/>
          <w:bCs/>
          <w:sz w:val="24"/>
        </w:rPr>
        <w:t>。</w:t>
      </w:r>
      <w:bookmarkEnd w:id="0"/>
      <w:bookmarkEnd w:id="3"/>
      <w:r>
        <w:rPr>
          <w:rFonts w:ascii="宋体" w:hAnsi="宋体"/>
          <w:sz w:val="24"/>
        </w:rPr>
        <w:br w:type="page"/>
      </w:r>
    </w:p>
    <w:p>
      <w:pPr>
        <w:pStyle w:val="3"/>
        <w:numPr>
          <w:ilvl w:val="0"/>
          <w:numId w:val="0"/>
        </w:numPr>
        <w:spacing w:before="0" w:after="0" w:line="360" w:lineRule="auto"/>
        <w:rPr>
          <w:b/>
          <w:sz w:val="36"/>
          <w:szCs w:val="36"/>
        </w:rPr>
      </w:pPr>
      <w:bookmarkStart w:id="7" w:name="_Toc69378616"/>
      <w:bookmarkStart w:id="8" w:name="_Toc107822483"/>
      <w:bookmarkStart w:id="9" w:name="_Toc226969276"/>
      <w:bookmarkStart w:id="10" w:name="_Toc227057883"/>
      <w:r>
        <w:rPr>
          <w:rFonts w:hint="eastAsia"/>
          <w:b/>
          <w:sz w:val="36"/>
          <w:szCs w:val="36"/>
        </w:rPr>
        <w:t>第二章 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w:t>
            </w:r>
            <w:r>
              <w:rPr>
                <w:sz w:val="24"/>
              </w:rPr>
              <w:t>5</w:t>
            </w:r>
            <w:r>
              <w:rPr>
                <w:rFonts w:hint="eastAsia"/>
                <w:sz w:val="24"/>
              </w:rPr>
              <w:t>份（</w:t>
            </w:r>
            <w:r>
              <w:rPr>
                <w:sz w:val="24"/>
              </w:rPr>
              <w:t>1</w:t>
            </w:r>
            <w:r>
              <w:rPr>
                <w:rFonts w:hint="eastAsia"/>
                <w:sz w:val="24"/>
              </w:rPr>
              <w:t>份正本、</w:t>
            </w:r>
            <w:r>
              <w:rPr>
                <w:sz w:val="24"/>
              </w:rPr>
              <w:t>4</w:t>
            </w:r>
            <w:r>
              <w:rPr>
                <w:rFonts w:hint="eastAsia"/>
                <w:sz w:val="24"/>
              </w:rPr>
              <w:t>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8</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1、竞争性磋商文件第六章“响应文件格式”中有单位名称和法定代表人或其委托代理人签字落款的响应文件必须加盖单位公章。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、不满足竞争性磋商文件对合格供应商的基本资质要求的；</w:t>
            </w:r>
          </w:p>
          <w:p>
            <w:pPr>
              <w:spacing w:line="320" w:lineRule="exact"/>
              <w:rPr>
                <w:sz w:val="24"/>
              </w:rPr>
            </w:pPr>
            <w:r>
              <w:rPr>
                <w:rFonts w:hint="eastAsia"/>
                <w:sz w:val="24"/>
              </w:rPr>
              <w:t>2、供应商在响应文件中提供的服务内容及质量不能实质性满足竞争性磋商文件要求或不能提供实质性满足证明的；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、资格证明文件不全、失效或不符合竞争性磋商文件要求的；</w:t>
            </w:r>
          </w:p>
          <w:p>
            <w:pPr>
              <w:spacing w:line="320" w:lineRule="exact"/>
              <w:rPr>
                <w:sz w:val="24"/>
              </w:rPr>
            </w:pPr>
            <w:r>
              <w:rPr>
                <w:rFonts w:hint="eastAsia"/>
                <w:sz w:val="24"/>
              </w:rPr>
              <w:t>7、响应文件无法定代表人签字，或签字人无法定代表人有效授权的；</w:t>
            </w:r>
          </w:p>
          <w:p>
            <w:pPr>
              <w:spacing w:line="320" w:lineRule="exact"/>
              <w:rPr>
                <w:sz w:val="24"/>
              </w:rPr>
            </w:pPr>
            <w:r>
              <w:rPr>
                <w:rFonts w:hint="eastAsia"/>
                <w:sz w:val="24"/>
              </w:rPr>
              <w:t>8、响应文件或响应有效期不足的；</w:t>
            </w:r>
          </w:p>
          <w:p>
            <w:pPr>
              <w:spacing w:line="320" w:lineRule="exact"/>
              <w:rPr>
                <w:sz w:val="24"/>
              </w:rPr>
            </w:pPr>
            <w:r>
              <w:rPr>
                <w:rFonts w:hint="eastAsia"/>
                <w:sz w:val="24"/>
              </w:rPr>
              <w:t>9、响应文件中提供虚假或失实资料的；</w:t>
            </w:r>
          </w:p>
          <w:p>
            <w:pPr>
              <w:spacing w:line="320" w:lineRule="exact"/>
              <w:rPr>
                <w:sz w:val="24"/>
              </w:rPr>
            </w:pPr>
            <w:r>
              <w:rPr>
                <w:rFonts w:hint="eastAsia"/>
                <w:sz w:val="24"/>
              </w:rPr>
              <w:t>1</w:t>
            </w:r>
            <w:r>
              <w:rPr>
                <w:sz w:val="24"/>
              </w:rPr>
              <w:t>0</w:t>
            </w:r>
            <w:r>
              <w:rPr>
                <w:rFonts w:hint="eastAsia"/>
                <w:sz w:val="24"/>
              </w:rPr>
              <w:t>、未按照竞争性磋商文件规定的方式领取竞争性磋商文件并按要求递交响应文件的；</w:t>
            </w:r>
          </w:p>
          <w:p>
            <w:pPr>
              <w:spacing w:line="320" w:lineRule="exact"/>
              <w:rPr>
                <w:sz w:val="24"/>
              </w:rPr>
            </w:pPr>
            <w:r>
              <w:rPr>
                <w:sz w:val="24"/>
              </w:rPr>
              <w:t>11</w:t>
            </w:r>
            <w:r>
              <w:rPr>
                <w:rFonts w:hint="eastAsia"/>
                <w:sz w:val="24"/>
              </w:rPr>
              <w:t>、评审委员会认为不能实质上满足竞争性磋商文件其它要求的。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20" w:lineRule="exact"/>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20" w:lineRule="exact"/>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20" w:lineRule="exact"/>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ascii="宋体" w:hAnsi="宋体" w:eastAsia="黑体"/>
          <w:bCs/>
          <w:kern w:val="44"/>
          <w:sz w:val="2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7057922"/>
      <w:bookmarkStart w:id="12" w:name="_Toc107822520"/>
      <w:bookmarkStart w:id="13" w:name="_Toc226969316"/>
    </w:p>
    <w:p>
      <w:pPr>
        <w:widowControl/>
        <w:jc w:val="left"/>
        <w:rPr>
          <w:rFonts w:eastAsia="黑体"/>
          <w:bCs/>
          <w:kern w:val="44"/>
          <w:sz w:val="30"/>
          <w:szCs w:val="44"/>
        </w:rPr>
      </w:pPr>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107822556"/>
      <w:bookmarkStart w:id="16" w:name="_Toc226969352"/>
      <w:bookmarkStart w:id="17" w:name="_Toc227057958"/>
      <w:r>
        <w:rPr>
          <w:rFonts w:hint="eastAsia"/>
          <w:b/>
          <w:sz w:val="36"/>
          <w:szCs w:val="36"/>
        </w:rPr>
        <w:t>第三章 评审办法</w:t>
      </w:r>
      <w:bookmarkEnd w:id="14"/>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1、供应商的响应价如有缺漏项，视为不实质性响应；</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2、评审基准价：满足采购文件要求的所有供应商评审价中的最低价为评审基准价。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3、价格分：计算价格得分：价格分=（评审基准价/供应商的评审价）×</w:t>
            </w:r>
            <w:r>
              <w:rPr>
                <w:rFonts w:ascii="宋体" w:hAnsi="宋体"/>
                <w:sz w:val="24"/>
              </w:rPr>
              <w:t>35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]分；一般[0，</w:t>
            </w:r>
            <w:r>
              <w:rPr>
                <w:rFonts w:ascii="宋体" w:hAnsi="宋体"/>
                <w:sz w:val="24"/>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产品业绩经验</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20分</w:t>
            </w:r>
          </w:p>
        </w:tc>
        <w:tc>
          <w:tcPr>
            <w:tcW w:w="80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r>
              <w:rPr>
                <w:rFonts w:hint="eastAsia" w:ascii="宋体" w:hAnsi="宋体"/>
                <w:sz w:val="24"/>
              </w:rPr>
              <w:t>根据所投产品和制造商业绩打分：</w:t>
            </w:r>
          </w:p>
          <w:p>
            <w:pPr>
              <w:spacing w:line="320" w:lineRule="exact"/>
              <w:rPr>
                <w:sz w:val="24"/>
              </w:rPr>
            </w:pPr>
            <w:r>
              <w:rPr>
                <w:rFonts w:hint="eastAsia" w:ascii="宋体" w:hAnsi="宋体"/>
                <w:sz w:val="24"/>
              </w:rPr>
              <w:t>1、根据所投产品（</w:t>
            </w:r>
            <w:r>
              <w:rPr>
                <w:rFonts w:hint="eastAsia"/>
              </w:rPr>
              <w:t>Vmware vSphere</w:t>
            </w:r>
            <w:r>
              <w:t xml:space="preserve"> </w:t>
            </w:r>
            <w:r>
              <w:rPr>
                <w:rFonts w:hint="eastAsia"/>
              </w:rPr>
              <w:t>C</w:t>
            </w:r>
            <w:r>
              <w:t>PU</w:t>
            </w:r>
            <w:r>
              <w:rPr>
                <w:rFonts w:hint="eastAsia"/>
              </w:rPr>
              <w:t>授权</w:t>
            </w:r>
            <w:r>
              <w:rPr>
                <w:rFonts w:hint="eastAsia" w:ascii="宋体" w:hAnsi="宋体"/>
                <w:sz w:val="24"/>
              </w:rPr>
              <w:t>）自201</w:t>
            </w:r>
            <w:r>
              <w:rPr>
                <w:rFonts w:ascii="宋体" w:hAnsi="宋体"/>
                <w:sz w:val="24"/>
              </w:rPr>
              <w:t>9</w:t>
            </w:r>
            <w:r>
              <w:rPr>
                <w:rFonts w:hint="eastAsia" w:ascii="宋体" w:hAnsi="宋体"/>
                <w:sz w:val="24"/>
              </w:rPr>
              <w:t>年1月1日以来在</w:t>
            </w:r>
            <w:r>
              <w:rPr>
                <w:rFonts w:hint="eastAsia"/>
                <w:kern w:val="0"/>
                <w:sz w:val="24"/>
              </w:rPr>
              <w:t>国内相关行业的</w:t>
            </w:r>
            <w:r>
              <w:rPr>
                <w:rFonts w:hint="eastAsia"/>
                <w:sz w:val="24"/>
              </w:rPr>
              <w:t>销售业绩</w:t>
            </w:r>
            <w:r>
              <w:rPr>
                <w:kern w:val="0"/>
                <w:sz w:val="24"/>
              </w:rPr>
              <w:t>打分</w:t>
            </w:r>
            <w:r>
              <w:rPr>
                <w:rFonts w:hint="eastAsia"/>
                <w:kern w:val="0"/>
                <w:sz w:val="24"/>
              </w:rPr>
              <w:t>（须提供案例合同复印件，加盖投标人公章）</w:t>
            </w:r>
            <w:r>
              <w:rPr>
                <w:rFonts w:hint="eastAsia" w:ascii="宋体" w:hAnsi="宋体"/>
                <w:sz w:val="24"/>
              </w:rPr>
              <w:t>。每提供一个案例得2分，本项满分20分。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20</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w:t>
            </w:r>
            <w:r>
              <w:rPr>
                <w:rFonts w:ascii="宋体" w:hAnsi="宋体"/>
                <w:sz w:val="24"/>
              </w:rPr>
              <w:t>20</w:t>
            </w:r>
            <w:r>
              <w:rPr>
                <w:rFonts w:hint="eastAsia" w:ascii="宋体" w:hAnsi="宋体"/>
                <w:sz w:val="24"/>
              </w:rPr>
              <w:t>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2</w:t>
            </w:r>
            <w:r>
              <w:rPr>
                <w:rFonts w:hint="eastAsia" w:ascii="宋体" w:hAnsi="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服务人员资质</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根据供应商服务人员具备的有效期内专业认证证书打分，一人多证按一证计。其中：</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1、具有V</w:t>
            </w:r>
            <w:r>
              <w:rPr>
                <w:rFonts w:ascii="宋体" w:hAnsi="宋体"/>
                <w:sz w:val="24"/>
              </w:rPr>
              <w:t>CP</w:t>
            </w:r>
            <w:r>
              <w:rPr>
                <w:rFonts w:hint="eastAsia" w:ascii="宋体" w:hAnsi="宋体"/>
                <w:sz w:val="24"/>
              </w:rPr>
              <w:t>认证的人员，得2分；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2、具有CISP认证的人员，每1名得1.5分，此项最高得3分。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注：须提供认证证书、证书持有</w:t>
            </w:r>
            <w:r>
              <w:rPr>
                <w:rFonts w:ascii="宋体" w:hAnsi="宋体"/>
                <w:sz w:val="24"/>
              </w:rPr>
              <w:t>人员</w:t>
            </w:r>
            <w:r>
              <w:rPr>
                <w:rFonts w:hint="eastAsia" w:ascii="宋体" w:hAnsi="宋体"/>
                <w:sz w:val="24"/>
              </w:rPr>
              <w:t>社保缴纳证明（社保局开具的自2</w:t>
            </w:r>
            <w:r>
              <w:rPr>
                <w:rFonts w:ascii="宋体" w:hAnsi="宋体"/>
                <w:sz w:val="24"/>
              </w:rPr>
              <w:t>02</w:t>
            </w:r>
            <w:r>
              <w:rPr>
                <w:rFonts w:hint="eastAsia" w:ascii="宋体" w:hAnsi="宋体"/>
                <w:sz w:val="24"/>
              </w:rPr>
              <w:t>1年</w:t>
            </w:r>
            <w:r>
              <w:rPr>
                <w:rFonts w:ascii="宋体" w:hAnsi="宋体"/>
                <w:sz w:val="24"/>
              </w:rPr>
              <w:t>1</w:t>
            </w:r>
            <w:r>
              <w:rPr>
                <w:rFonts w:hint="eastAsia" w:ascii="宋体" w:hAnsi="宋体"/>
                <w:sz w:val="24"/>
              </w:rPr>
              <w:t>月至今的社保证明文件，第三方代缴则需提供供应商与第三方代缴公司的协议证明）扫描件，</w:t>
            </w:r>
            <w:r>
              <w:rPr>
                <w:rFonts w:ascii="宋体" w:hAnsi="宋体"/>
                <w:sz w:val="24"/>
              </w:rPr>
              <w:t>加盖</w:t>
            </w:r>
            <w:r>
              <w:rPr>
                <w:rFonts w:hint="eastAsia" w:ascii="宋体" w:hAnsi="宋体"/>
                <w:sz w:val="24"/>
              </w:rPr>
              <w:t>供应商</w:t>
            </w:r>
            <w:r>
              <w:rPr>
                <w:rFonts w:ascii="宋体" w:hAnsi="宋体"/>
                <w:sz w:val="24"/>
              </w:rPr>
              <w:t>公章</w:t>
            </w:r>
            <w:r>
              <w:rPr>
                <w:rFonts w:hint="eastAsia" w:ascii="宋体" w:hAnsi="宋体"/>
                <w:sz w:val="24"/>
              </w:rPr>
              <w:t>。以上材料缺少即不得分。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运维服务能力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bookmarkStart w:id="18" w:name="_Hlk47079957"/>
            <w:r>
              <w:rPr>
                <w:rFonts w:ascii="宋体" w:hAnsi="宋体"/>
                <w:sz w:val="24"/>
              </w:rPr>
              <w:t>根据</w:t>
            </w:r>
            <w:r>
              <w:rPr>
                <w:rFonts w:hint="eastAsia" w:ascii="宋体" w:hAnsi="宋体"/>
                <w:sz w:val="24"/>
              </w:rPr>
              <w:t>供应商的</w:t>
            </w:r>
            <w:r>
              <w:rPr>
                <w:rFonts w:ascii="宋体" w:hAnsi="宋体"/>
                <w:sz w:val="24"/>
              </w:rPr>
              <w:t>服务承诺、</w:t>
            </w:r>
            <w:r>
              <w:rPr>
                <w:rFonts w:hint="eastAsia" w:ascii="宋体" w:hAnsi="宋体"/>
                <w:sz w:val="24"/>
              </w:rPr>
              <w:t>运维</w:t>
            </w:r>
            <w:r>
              <w:rPr>
                <w:rFonts w:ascii="宋体" w:hAnsi="宋体"/>
                <w:sz w:val="24"/>
              </w:rPr>
              <w:t>服务方案</w:t>
            </w:r>
            <w:r>
              <w:rPr>
                <w:rFonts w:hint="eastAsia" w:ascii="宋体" w:hAnsi="宋体"/>
                <w:sz w:val="24"/>
              </w:rPr>
              <w:t>打分</w:t>
            </w:r>
            <w:r>
              <w:rPr>
                <w:rFonts w:ascii="宋体" w:hAnsi="宋体"/>
                <w:sz w:val="24"/>
              </w:rPr>
              <w:t>。</w:t>
            </w:r>
          </w:p>
          <w:bookmarkEnd w:id="18"/>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]分；一般[0，</w:t>
            </w:r>
            <w:r>
              <w:rPr>
                <w:rFonts w:ascii="宋体" w:hAnsi="宋体"/>
                <w:sz w:val="24"/>
              </w:rPr>
              <w:t>2</w:t>
            </w:r>
            <w:r>
              <w:rPr>
                <w:rFonts w:hint="eastAsia" w:ascii="宋体" w:hAnsi="宋体"/>
                <w:sz w:val="24"/>
              </w:rPr>
              <w:t>)分</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1" w:type="dxa"/>
            <w:vMerge w:val="continue"/>
            <w:tcBorders>
              <w:left w:val="single" w:color="auto" w:sz="4" w:space="0"/>
              <w:right w:val="single" w:color="auto" w:sz="4" w:space="0"/>
            </w:tcBorders>
            <w:vAlign w:val="center"/>
          </w:tcPr>
          <w:p>
            <w:pPr>
              <w:widowControl/>
              <w:spacing w:line="320" w:lineRule="exact"/>
              <w:jc w:val="center"/>
              <w:rPr>
                <w:rFonts w:ascii="宋体" w:hAnsi="宋体"/>
                <w:b/>
                <w:bCs/>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根据</w:t>
            </w:r>
            <w:r>
              <w:rPr>
                <w:rFonts w:hint="eastAsia" w:ascii="宋体" w:hAnsi="宋体"/>
                <w:sz w:val="24"/>
              </w:rPr>
              <w:t>供应商的服务响应时间和其他服务承诺</w:t>
            </w:r>
            <w:r>
              <w:rPr>
                <w:rFonts w:ascii="宋体" w:hAnsi="宋体"/>
                <w:sz w:val="24"/>
              </w:rPr>
              <w:t>横向比较打分</w:t>
            </w:r>
            <w:r>
              <w:rPr>
                <w:rFonts w:hint="eastAsia" w:ascii="宋体" w:hAnsi="宋体"/>
                <w:sz w:val="24"/>
              </w:rPr>
              <w:t>。</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]分；一般[0，</w:t>
            </w:r>
            <w:r>
              <w:rPr>
                <w:rFonts w:ascii="宋体" w:hAnsi="宋体"/>
                <w:sz w:val="24"/>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1"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根据供应商的售后服务机构的实力、省内驻点、维护人员数量</w:t>
            </w:r>
            <w:r>
              <w:rPr>
                <w:rFonts w:ascii="宋体" w:hAnsi="宋体"/>
                <w:sz w:val="24"/>
              </w:rPr>
              <w:t>横向比较打分。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]分；一般[0，</w:t>
            </w:r>
            <w:r>
              <w:rPr>
                <w:rFonts w:ascii="宋体" w:hAnsi="宋体"/>
                <w:sz w:val="24"/>
              </w:rPr>
              <w:t>2</w:t>
            </w:r>
            <w:r>
              <w:rPr>
                <w:rFonts w:hint="eastAsia" w:ascii="宋体" w:hAnsi="宋体"/>
                <w:sz w:val="24"/>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9" w:name="_Toc69378618"/>
      <w:r>
        <w:rPr>
          <w:rFonts w:hint="eastAsia"/>
          <w:b/>
          <w:sz w:val="36"/>
          <w:szCs w:val="36"/>
        </w:rPr>
        <w:t xml:space="preserve">第四章 </w:t>
      </w:r>
      <w:r>
        <w:rPr>
          <w:b/>
          <w:sz w:val="36"/>
          <w:szCs w:val="36"/>
        </w:rPr>
        <w:t>合同格式</w:t>
      </w:r>
      <w:bookmarkEnd w:id="19"/>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bookmarkStart w:id="20" w:name="_Hlk104814812"/>
      <w:r>
        <w:rPr>
          <w:rFonts w:hint="eastAsia" w:ascii="宋体" w:hAnsi="宋体"/>
          <w:b/>
          <w:bCs/>
          <w:color w:val="000000"/>
          <w:szCs w:val="21"/>
          <w:u w:val="single"/>
        </w:rPr>
        <w:t>企业信息化虚拟平台扩容项目</w:t>
      </w:r>
      <w:bookmarkEnd w:id="20"/>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
          <w:color w:val="000000"/>
          <w:szCs w:val="21"/>
          <w:u w:val="single"/>
        </w:rPr>
        <w:t xml:space="preserve">  公司（以下简称“乙方”）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19"/>
      <w:r>
        <w:rPr>
          <w:rFonts w:ascii="宋体" w:hAnsi="宋体" w:eastAsia="宋体" w:cs="宋体"/>
          <w:b/>
          <w:bCs w:val="0"/>
          <w:sz w:val="21"/>
          <w:szCs w:val="21"/>
        </w:rPr>
        <w:t>一、项目标的和内容</w:t>
      </w:r>
      <w:bookmarkEnd w:id="21"/>
    </w:p>
    <w:p>
      <w:pPr>
        <w:spacing w:line="360" w:lineRule="auto"/>
        <w:ind w:firstLine="420" w:firstLineChars="200"/>
        <w:rPr>
          <w:color w:val="000000"/>
          <w:szCs w:val="21"/>
        </w:rPr>
      </w:pPr>
      <w:bookmarkStart w:id="22" w:name="_Toc69378620"/>
      <w:r>
        <w:rPr>
          <w:color w:val="262626"/>
          <w:szCs w:val="21"/>
        </w:rPr>
        <w:t>项目标的内容包括乙方按照甲方具体要求供应</w:t>
      </w:r>
      <w:r>
        <w:rPr>
          <w:rFonts w:hint="eastAsia" w:ascii="宋体" w:hAnsi="宋体"/>
          <w:color w:val="000000"/>
          <w:szCs w:val="21"/>
          <w:u w:val="single"/>
        </w:rPr>
        <w:t>企业信息化虚拟平台扩容项目</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2"/>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23"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3"/>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4" w:name="_Toc69378621"/>
      <w:r>
        <w:rPr>
          <w:rFonts w:hint="eastAsia"/>
          <w:szCs w:val="21"/>
        </w:rPr>
        <w:t>1．</w:t>
      </w:r>
      <w:r>
        <w:rPr>
          <w:szCs w:val="21"/>
        </w:rPr>
        <w:t>付款方式：</w:t>
      </w:r>
      <w:bookmarkStart w:id="25" w:name="_Hlk105512728"/>
      <w:r>
        <w:rPr>
          <w:rFonts w:hint="eastAsia" w:ascii="宋体" w:hAnsi="宋体"/>
          <w:szCs w:val="21"/>
        </w:rPr>
        <w:t>合同款的</w:t>
      </w:r>
      <w:r>
        <w:rPr>
          <w:rFonts w:ascii="宋体" w:hAnsi="宋体"/>
          <w:szCs w:val="21"/>
        </w:rPr>
        <w:t>70%以电汇方式汇入乙方账号，30%以半年期银行承兑汇票支付。</w:t>
      </w:r>
      <w:bookmarkEnd w:id="25"/>
      <w:r>
        <w:rPr>
          <w:rFonts w:ascii="宋体" w:hAnsi="宋体"/>
          <w:szCs w:val="21"/>
        </w:rPr>
        <w:t>禁止将货款划入其他账号或支付现金</w:t>
      </w:r>
      <w:r>
        <w:rPr>
          <w:szCs w:val="21"/>
        </w:rPr>
        <w:t>。如收款方的账号和开户行变更，须及时以书面形式通知付款方，通知上必须同时盖有收款方的</w:t>
      </w:r>
      <w:r>
        <w:rPr>
          <w:rFonts w:hint="eastAsia"/>
          <w:szCs w:val="21"/>
        </w:rPr>
        <w:t>公</w:t>
      </w:r>
      <w:r>
        <w:rPr>
          <w:szCs w:val="21"/>
        </w:rPr>
        <w:t>章</w:t>
      </w:r>
      <w:bookmarkStart w:id="26" w:name="_Hlk105512787"/>
      <w:r>
        <w:rPr>
          <w:rFonts w:hint="eastAsia"/>
          <w:szCs w:val="21"/>
        </w:rPr>
        <w:t>或</w:t>
      </w:r>
      <w:r>
        <w:rPr>
          <w:szCs w:val="21"/>
        </w:rPr>
        <w:t>财务</w:t>
      </w:r>
      <w:r>
        <w:rPr>
          <w:rFonts w:hint="eastAsia"/>
          <w:szCs w:val="21"/>
        </w:rPr>
        <w:t>专用</w:t>
      </w:r>
      <w:r>
        <w:rPr>
          <w:szCs w:val="21"/>
        </w:rPr>
        <w:t>章</w:t>
      </w:r>
      <w:r>
        <w:rPr>
          <w:rFonts w:hint="eastAsia"/>
          <w:szCs w:val="21"/>
        </w:rPr>
        <w:t>。</w:t>
      </w:r>
      <w:bookmarkEnd w:id="26"/>
    </w:p>
    <w:p>
      <w:pPr>
        <w:tabs>
          <w:tab w:val="left" w:pos="0"/>
        </w:tabs>
        <w:spacing w:line="360" w:lineRule="auto"/>
        <w:rPr>
          <w:color w:val="000000"/>
          <w:szCs w:val="21"/>
        </w:rPr>
      </w:pPr>
      <w:r>
        <w:rPr>
          <w:rFonts w:hint="eastAsia"/>
          <w:color w:val="000000"/>
          <w:szCs w:val="21"/>
        </w:rPr>
        <w:t>2．</w:t>
      </w:r>
      <w:r>
        <w:rPr>
          <w:color w:val="000000"/>
          <w:szCs w:val="21"/>
        </w:rPr>
        <w:t>付款期限：</w:t>
      </w:r>
      <w:bookmarkStart w:id="27" w:name="_Hlk105512805"/>
      <w:r>
        <w:rPr>
          <w:rFonts w:hint="eastAsia"/>
          <w:color w:val="000000"/>
          <w:szCs w:val="21"/>
        </w:rPr>
        <w:t>V</w:t>
      </w:r>
      <w:r>
        <w:rPr>
          <w:color w:val="000000"/>
          <w:szCs w:val="21"/>
        </w:rPr>
        <w:t>M</w:t>
      </w:r>
      <w:r>
        <w:rPr>
          <w:rFonts w:hint="eastAsia"/>
          <w:color w:val="000000"/>
          <w:szCs w:val="21"/>
        </w:rPr>
        <w:t>ware vSphere软件许可到账后1个月内，甲方电汇支</w:t>
      </w:r>
      <w:r>
        <w:rPr>
          <w:color w:val="000000"/>
          <w:szCs w:val="21"/>
        </w:rPr>
        <w:t>付</w:t>
      </w:r>
      <w:r>
        <w:rPr>
          <w:rFonts w:hint="eastAsia"/>
          <w:color w:val="000000"/>
          <w:szCs w:val="21"/>
        </w:rPr>
        <w:t>乙方</w:t>
      </w:r>
      <w:r>
        <w:rPr>
          <w:color w:val="000000"/>
          <w:szCs w:val="21"/>
        </w:rPr>
        <w:t>合同总额的30%</w:t>
      </w:r>
      <w:r>
        <w:rPr>
          <w:rFonts w:hint="eastAsia"/>
          <w:color w:val="000000"/>
          <w:szCs w:val="21"/>
        </w:rPr>
        <w:t>，即人民币</w:t>
      </w:r>
      <w:r>
        <w:rPr>
          <w:rFonts w:hint="eastAsia"/>
          <w:color w:val="000000"/>
          <w:szCs w:val="21"/>
          <w:u w:val="single"/>
        </w:rPr>
        <w:t xml:space="preserve">       ；项目通过初验后1个月内，甲方电汇支付乙方合同总价的30%，即人民币</w:t>
      </w:r>
      <w:r>
        <w:rPr>
          <w:rFonts w:hint="eastAsia"/>
          <w:b/>
          <w:bCs/>
          <w:color w:val="000000"/>
          <w:szCs w:val="21"/>
          <w:u w:val="single"/>
        </w:rPr>
        <w:t xml:space="preserve"> </w:t>
      </w:r>
      <w:r>
        <w:rPr>
          <w:b/>
          <w:bCs/>
          <w:color w:val="000000"/>
          <w:szCs w:val="21"/>
          <w:u w:val="single"/>
        </w:rPr>
        <w:t xml:space="preserve">   </w:t>
      </w:r>
      <w:r>
        <w:rPr>
          <w:rFonts w:hint="eastAsia"/>
          <w:color w:val="000000"/>
          <w:szCs w:val="21"/>
          <w:u w:val="single"/>
        </w:rPr>
        <w:t>；</w:t>
      </w:r>
      <w:r>
        <w:rPr>
          <w:rFonts w:hint="eastAsia"/>
          <w:color w:val="000000"/>
          <w:szCs w:val="21"/>
        </w:rPr>
        <w:t>系统通过终验后1个月内，甲方</w:t>
      </w:r>
      <w:r>
        <w:rPr>
          <w:color w:val="000000"/>
          <w:szCs w:val="21"/>
        </w:rPr>
        <w:t>以半年期银行承兑汇票</w:t>
      </w:r>
      <w:r>
        <w:rPr>
          <w:rFonts w:hint="eastAsia"/>
          <w:color w:val="000000"/>
          <w:szCs w:val="21"/>
        </w:rPr>
        <w:t>支付乙方合同总额的</w:t>
      </w:r>
      <w:r>
        <w:rPr>
          <w:color w:val="000000"/>
          <w:szCs w:val="21"/>
        </w:rPr>
        <w:t>30%</w:t>
      </w:r>
      <w:r>
        <w:rPr>
          <w:rFonts w:hint="eastAsia"/>
          <w:color w:val="000000"/>
          <w:szCs w:val="21"/>
        </w:rPr>
        <w:t>，即人民币</w:t>
      </w:r>
      <w:r>
        <w:rPr>
          <w:rFonts w:hint="eastAsia"/>
          <w:color w:val="000000"/>
          <w:szCs w:val="21"/>
          <w:u w:val="single"/>
        </w:rPr>
        <w:t xml:space="preserve">       ；</w:t>
      </w:r>
      <w:r>
        <w:rPr>
          <w:rFonts w:hint="eastAsia"/>
          <w:color w:val="000000"/>
          <w:szCs w:val="21"/>
        </w:rPr>
        <w:t xml:space="preserve"> 10%余款即人民币</w:t>
      </w:r>
      <w:r>
        <w:rPr>
          <w:rFonts w:hint="eastAsia"/>
          <w:color w:val="000000"/>
          <w:szCs w:val="21"/>
          <w:u w:val="single"/>
        </w:rPr>
        <w:t xml:space="preserve">      ，</w:t>
      </w:r>
      <w:r>
        <w:rPr>
          <w:rFonts w:hint="eastAsia"/>
          <w:color w:val="000000"/>
          <w:szCs w:val="21"/>
        </w:rPr>
        <w:t>作为质量保证金，在一年服务到期且巡检报告通过甲方审核后的10个工作日之内支付。如乙方违反本合同第十五条廉洁条款第二点，甲方有权全部扣除合同总额的10%，若此时合同总额已经全部支付或余款不足10%的，甲方有权根据此合同向乙方进一步追诉。</w:t>
      </w:r>
      <w:bookmarkEnd w:id="27"/>
    </w:p>
    <w:p>
      <w:pPr>
        <w:spacing w:line="360" w:lineRule="auto"/>
        <w:rPr>
          <w:color w:val="000000"/>
          <w:szCs w:val="21"/>
        </w:rPr>
      </w:pPr>
      <w:r>
        <w:rPr>
          <w:rFonts w:hint="eastAsia"/>
          <w:color w:val="000000"/>
        </w:rPr>
        <w:t>3．质量保证金：</w:t>
      </w:r>
      <w:r>
        <w:rPr>
          <w:color w:val="000000"/>
        </w:rPr>
        <w:t>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乙方所提供产品授权和服务必须完全满足甲方在</w:t>
      </w:r>
      <w:r>
        <w:rPr>
          <w:rFonts w:hint="eastAsia" w:ascii="宋体" w:hAnsi="宋体"/>
          <w:color w:val="000000"/>
          <w:szCs w:val="21"/>
          <w:u w:val="single"/>
        </w:rPr>
        <w:t>企业信息化虚拟平台扩容项目</w:t>
      </w:r>
      <w:r>
        <w:rPr>
          <w:rFonts w:hint="eastAsia" w:ascii="宋体" w:hAnsi="宋体" w:cs="宋体"/>
          <w:szCs w:val="21"/>
        </w:rPr>
        <w:t>竞争性磋商文件中提出的技术要求，乙方所提供产品的功能与服务实现必须完全遵守响应文件和磋商时做出的书面承诺；乙方保证所提供的商品是原厂原装产品，没有任何版权或其他权属争议。</w:t>
      </w:r>
    </w:p>
    <w:bookmarkEnd w:id="24"/>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技术支持服务</w:t>
      </w:r>
    </w:p>
    <w:p>
      <w:pPr>
        <w:numPr>
          <w:ilvl w:val="0"/>
          <w:numId w:val="7"/>
        </w:numPr>
        <w:spacing w:line="400" w:lineRule="exact"/>
        <w:ind w:left="0" w:firstLine="0"/>
        <w:rPr>
          <w:rFonts w:ascii="宋体" w:hAnsi="宋体"/>
          <w:szCs w:val="21"/>
        </w:rPr>
      </w:pPr>
      <w:r>
        <w:rPr>
          <w:rFonts w:hint="eastAsia" w:ascii="宋体" w:hAnsi="宋体"/>
          <w:szCs w:val="21"/>
        </w:rPr>
        <w:t>服务响应时间：V</w:t>
      </w:r>
      <w:r>
        <w:rPr>
          <w:rFonts w:ascii="宋体" w:hAnsi="宋体"/>
          <w:szCs w:val="21"/>
        </w:rPr>
        <w:t>M</w:t>
      </w:r>
      <w:r>
        <w:rPr>
          <w:rFonts w:hint="eastAsia" w:ascii="宋体" w:hAnsi="宋体"/>
          <w:szCs w:val="21"/>
        </w:rPr>
        <w:t>ware vSphere软件许可应在合同签生效后</w:t>
      </w:r>
      <w:r>
        <w:rPr>
          <w:rFonts w:ascii="宋体" w:hAnsi="宋体"/>
          <w:szCs w:val="21"/>
          <w:u w:val="single"/>
        </w:rPr>
        <w:t xml:space="preserve">  </w:t>
      </w:r>
      <w:r>
        <w:rPr>
          <w:rFonts w:hint="eastAsia" w:ascii="宋体" w:hAnsi="宋体"/>
          <w:szCs w:val="21"/>
        </w:rPr>
        <w:t>天（不超过1</w:t>
      </w:r>
      <w:r>
        <w:rPr>
          <w:rFonts w:ascii="宋体" w:hAnsi="宋体"/>
          <w:szCs w:val="21"/>
        </w:rPr>
        <w:t>5</w:t>
      </w:r>
      <w:r>
        <w:rPr>
          <w:rFonts w:hint="eastAsia" w:ascii="宋体" w:hAnsi="宋体"/>
          <w:szCs w:val="21"/>
        </w:rPr>
        <w:t>天）内到货。此外，乙方为甲方提供每周7天，每天24小时的软硬件技术支持服务，服务的具体响应时间要求如下：</w:t>
      </w:r>
    </w:p>
    <w:tbl>
      <w:tblPr>
        <w:tblStyle w:val="5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080"/>
        <w:gridCol w:w="1073"/>
        <w:gridCol w:w="1073"/>
        <w:gridCol w:w="1091"/>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故障级别</w:t>
            </w:r>
          </w:p>
        </w:tc>
        <w:tc>
          <w:tcPr>
            <w:tcW w:w="3080"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故障描述</w:t>
            </w:r>
          </w:p>
        </w:tc>
        <w:tc>
          <w:tcPr>
            <w:tcW w:w="1073"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发生时段</w:t>
            </w:r>
          </w:p>
        </w:tc>
        <w:tc>
          <w:tcPr>
            <w:tcW w:w="1073"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电话响应</w:t>
            </w:r>
          </w:p>
        </w:tc>
        <w:tc>
          <w:tcPr>
            <w:tcW w:w="1091"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现场响应</w:t>
            </w:r>
          </w:p>
        </w:tc>
        <w:tc>
          <w:tcPr>
            <w:tcW w:w="1149" w:type="dxa"/>
            <w:vAlign w:val="center"/>
          </w:tcPr>
          <w:p>
            <w:pPr>
              <w:widowControl/>
              <w:spacing w:before="120" w:after="120" w:line="360" w:lineRule="auto"/>
              <w:jc w:val="center"/>
              <w:rPr>
                <w:rFonts w:ascii="宋体" w:hAnsi="宋体" w:cs="Arial"/>
                <w:b/>
                <w:kern w:val="0"/>
                <w:szCs w:val="21"/>
              </w:rPr>
            </w:pPr>
            <w:r>
              <w:rPr>
                <w:rFonts w:hint="eastAsia" w:ascii="宋体" w:hAnsi="宋体" w:cs="Arial"/>
                <w:b/>
                <w:kern w:val="0"/>
                <w:szCs w:val="21"/>
              </w:rPr>
              <w:t>解决时限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47" w:type="dxa"/>
            <w:vMerge w:val="restart"/>
            <w:vAlign w:val="center"/>
          </w:tcPr>
          <w:p>
            <w:pPr>
              <w:rPr>
                <w:rFonts w:ascii="宋体" w:hAnsi="宋体" w:cs="Arial"/>
                <w:szCs w:val="21"/>
              </w:rPr>
            </w:pPr>
            <w:r>
              <w:rPr>
                <w:rFonts w:hint="eastAsia" w:ascii="宋体" w:hAnsi="宋体"/>
                <w:szCs w:val="21"/>
              </w:rPr>
              <w:t>紧急(系统瘫痪)</w:t>
            </w:r>
          </w:p>
        </w:tc>
        <w:tc>
          <w:tcPr>
            <w:tcW w:w="3080" w:type="dxa"/>
            <w:vMerge w:val="restart"/>
            <w:vAlign w:val="center"/>
          </w:tcPr>
          <w:p>
            <w:pPr>
              <w:rPr>
                <w:rFonts w:ascii="宋体" w:hAnsi="宋体" w:cs="Arial"/>
                <w:szCs w:val="21"/>
              </w:rPr>
            </w:pPr>
            <w:r>
              <w:rPr>
                <w:rFonts w:hint="eastAsia" w:ascii="宋体" w:hAnsi="宋体"/>
                <w:szCs w:val="21"/>
              </w:rPr>
              <w:t>严重影响系统运行和管理，系统服务，系统处理能力，通信流量，计费，需要立即采取纠正措施。</w:t>
            </w:r>
          </w:p>
        </w:tc>
        <w:tc>
          <w:tcPr>
            <w:tcW w:w="1073" w:type="dxa"/>
            <w:vAlign w:val="center"/>
          </w:tcPr>
          <w:p>
            <w:pPr>
              <w:rPr>
                <w:rFonts w:ascii="宋体" w:hAnsi="宋体" w:cs="Arial"/>
                <w:szCs w:val="21"/>
              </w:rPr>
            </w:pPr>
            <w:r>
              <w:rPr>
                <w:rFonts w:hint="eastAsia" w:ascii="宋体" w:hAnsi="宋体" w:cs="Arial"/>
                <w:szCs w:val="21"/>
              </w:rPr>
              <w:t>上班时间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cs="Arial"/>
                <w:szCs w:val="21"/>
              </w:rPr>
              <w:t>30分钟内</w:t>
            </w:r>
          </w:p>
        </w:tc>
        <w:tc>
          <w:tcPr>
            <w:tcW w:w="1149" w:type="dxa"/>
            <w:vAlign w:val="center"/>
          </w:tcPr>
          <w:p>
            <w:pPr>
              <w:rPr>
                <w:rFonts w:ascii="宋体" w:hAnsi="宋体"/>
                <w:szCs w:val="21"/>
              </w:rPr>
            </w:pPr>
            <w:r>
              <w:rPr>
                <w:rFonts w:hint="eastAsia" w:ascii="宋体" w:hAnsi="宋体"/>
                <w:szCs w:val="21"/>
              </w:rPr>
              <w:t>30分钟</w:t>
            </w:r>
            <w:r>
              <w:rPr>
                <w:rFonts w:hint="eastAsia" w:ascii="宋体" w:hAnsi="宋体" w:cs="Arial"/>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47" w:type="dxa"/>
            <w:vMerge w:val="continue"/>
            <w:vAlign w:val="center"/>
          </w:tcPr>
          <w:p>
            <w:pPr>
              <w:rPr>
                <w:rFonts w:ascii="宋体" w:hAnsi="宋体" w:cs="Arial"/>
                <w:szCs w:val="21"/>
              </w:rPr>
            </w:pPr>
          </w:p>
        </w:tc>
        <w:tc>
          <w:tcPr>
            <w:tcW w:w="3080" w:type="dxa"/>
            <w:vMerge w:val="continue"/>
            <w:vAlign w:val="center"/>
          </w:tcPr>
          <w:p>
            <w:pPr>
              <w:rPr>
                <w:rFonts w:ascii="宋体" w:hAnsi="宋体" w:cs="Arial"/>
                <w:szCs w:val="21"/>
              </w:rPr>
            </w:pPr>
          </w:p>
        </w:tc>
        <w:tc>
          <w:tcPr>
            <w:tcW w:w="1073" w:type="dxa"/>
            <w:vAlign w:val="center"/>
          </w:tcPr>
          <w:p>
            <w:pPr>
              <w:rPr>
                <w:rFonts w:ascii="宋体" w:hAnsi="宋体" w:cs="Arial"/>
                <w:szCs w:val="21"/>
              </w:rPr>
            </w:pPr>
            <w:r>
              <w:rPr>
                <w:rFonts w:hint="eastAsia" w:ascii="宋体" w:hAnsi="宋体" w:cs="Arial"/>
                <w:szCs w:val="21"/>
              </w:rPr>
              <w:t>下班时间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szCs w:val="21"/>
              </w:rPr>
              <w:t>1小时</w:t>
            </w:r>
            <w:r>
              <w:rPr>
                <w:rFonts w:hint="eastAsia" w:ascii="宋体" w:hAnsi="宋体" w:cs="Arial"/>
                <w:szCs w:val="21"/>
              </w:rPr>
              <w:t>内</w:t>
            </w:r>
          </w:p>
        </w:tc>
        <w:tc>
          <w:tcPr>
            <w:tcW w:w="1149" w:type="dxa"/>
            <w:vAlign w:val="center"/>
          </w:tcPr>
          <w:p>
            <w:pPr>
              <w:rPr>
                <w:rFonts w:ascii="宋体" w:hAnsi="宋体"/>
                <w:szCs w:val="21"/>
              </w:rPr>
            </w:pPr>
            <w:r>
              <w:rPr>
                <w:rFonts w:hint="eastAsia" w:ascii="宋体" w:hAnsi="宋体"/>
                <w:szCs w:val="21"/>
              </w:rPr>
              <w:t>1小时</w:t>
            </w:r>
            <w:r>
              <w:rPr>
                <w:rFonts w:hint="eastAsia" w:ascii="宋体" w:hAnsi="宋体" w:cs="Arial"/>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47" w:type="dxa"/>
            <w:vMerge w:val="restart"/>
            <w:vAlign w:val="center"/>
          </w:tcPr>
          <w:p>
            <w:pPr>
              <w:rPr>
                <w:rFonts w:ascii="宋体" w:hAnsi="宋体" w:cs="Arial"/>
                <w:szCs w:val="21"/>
              </w:rPr>
            </w:pPr>
            <w:r>
              <w:rPr>
                <w:rFonts w:hint="eastAsia" w:ascii="宋体" w:hAnsi="宋体"/>
                <w:szCs w:val="21"/>
              </w:rPr>
              <w:t>一般(系统一般故障)</w:t>
            </w:r>
          </w:p>
        </w:tc>
        <w:tc>
          <w:tcPr>
            <w:tcW w:w="3080" w:type="dxa"/>
            <w:vMerge w:val="restart"/>
            <w:vAlign w:val="center"/>
          </w:tcPr>
          <w:p>
            <w:pPr>
              <w:rPr>
                <w:rFonts w:ascii="宋体" w:hAnsi="宋体" w:cs="Arial"/>
                <w:szCs w:val="21"/>
              </w:rPr>
            </w:pPr>
            <w:r>
              <w:rPr>
                <w:rFonts w:hint="eastAsia" w:ascii="宋体" w:hAnsi="宋体"/>
                <w:szCs w:val="21"/>
              </w:rPr>
              <w:t>不会严重削弱系统性能，以及不会严重影响提供服务的问题，需要立即给予关注。</w:t>
            </w:r>
          </w:p>
        </w:tc>
        <w:tc>
          <w:tcPr>
            <w:tcW w:w="1073" w:type="dxa"/>
            <w:vAlign w:val="center"/>
          </w:tcPr>
          <w:p>
            <w:pPr>
              <w:rPr>
                <w:rFonts w:ascii="宋体" w:hAnsi="宋体" w:cs="Arial"/>
                <w:szCs w:val="21"/>
              </w:rPr>
            </w:pPr>
            <w:r>
              <w:rPr>
                <w:rFonts w:hint="eastAsia" w:ascii="宋体" w:hAnsi="宋体" w:cs="Arial"/>
                <w:szCs w:val="21"/>
              </w:rPr>
              <w:t>上班时间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szCs w:val="21"/>
              </w:rPr>
              <w:t>1小时</w:t>
            </w:r>
            <w:r>
              <w:rPr>
                <w:rFonts w:hint="eastAsia" w:ascii="宋体" w:hAnsi="宋体" w:cs="Arial"/>
                <w:szCs w:val="21"/>
              </w:rPr>
              <w:t>内</w:t>
            </w:r>
          </w:p>
        </w:tc>
        <w:tc>
          <w:tcPr>
            <w:tcW w:w="1149" w:type="dxa"/>
            <w:vAlign w:val="center"/>
          </w:tcPr>
          <w:p>
            <w:pPr>
              <w:rPr>
                <w:rFonts w:ascii="宋体" w:hAnsi="宋体"/>
                <w:szCs w:val="21"/>
              </w:rPr>
            </w:pPr>
            <w:r>
              <w:rPr>
                <w:rFonts w:hint="eastAsia" w:ascii="宋体" w:hAnsi="宋体"/>
                <w:szCs w:val="21"/>
              </w:rPr>
              <w:t>1小时</w:t>
            </w:r>
            <w:r>
              <w:rPr>
                <w:rFonts w:hint="eastAsia" w:ascii="宋体" w:hAnsi="宋体" w:cs="Arial"/>
                <w:szCs w:val="21"/>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47" w:type="dxa"/>
            <w:vMerge w:val="continue"/>
            <w:vAlign w:val="center"/>
          </w:tcPr>
          <w:p>
            <w:pPr>
              <w:rPr>
                <w:rFonts w:ascii="宋体" w:hAnsi="宋体" w:cs="Arial"/>
                <w:szCs w:val="21"/>
              </w:rPr>
            </w:pPr>
          </w:p>
        </w:tc>
        <w:tc>
          <w:tcPr>
            <w:tcW w:w="3080" w:type="dxa"/>
            <w:vMerge w:val="continue"/>
            <w:vAlign w:val="center"/>
          </w:tcPr>
          <w:p>
            <w:pPr>
              <w:rPr>
                <w:rFonts w:ascii="宋体" w:hAnsi="宋体" w:cs="Arial"/>
                <w:szCs w:val="21"/>
              </w:rPr>
            </w:pPr>
          </w:p>
        </w:tc>
        <w:tc>
          <w:tcPr>
            <w:tcW w:w="1073" w:type="dxa"/>
            <w:vAlign w:val="center"/>
          </w:tcPr>
          <w:p>
            <w:pPr>
              <w:rPr>
                <w:rFonts w:ascii="宋体" w:hAnsi="宋体" w:cs="Arial"/>
                <w:szCs w:val="21"/>
              </w:rPr>
            </w:pPr>
            <w:r>
              <w:rPr>
                <w:rFonts w:hint="eastAsia" w:ascii="宋体" w:hAnsi="宋体" w:cs="Arial"/>
                <w:szCs w:val="21"/>
              </w:rPr>
              <w:t>下班时间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szCs w:val="21"/>
              </w:rPr>
              <w:t>2小时</w:t>
            </w:r>
            <w:r>
              <w:rPr>
                <w:rFonts w:hint="eastAsia" w:ascii="宋体" w:hAnsi="宋体" w:cs="Arial"/>
                <w:szCs w:val="21"/>
              </w:rPr>
              <w:t>内</w:t>
            </w:r>
          </w:p>
        </w:tc>
        <w:tc>
          <w:tcPr>
            <w:tcW w:w="1149" w:type="dxa"/>
            <w:vAlign w:val="center"/>
          </w:tcPr>
          <w:p>
            <w:pPr>
              <w:rPr>
                <w:rFonts w:ascii="宋体" w:hAnsi="宋体"/>
                <w:szCs w:val="21"/>
              </w:rPr>
            </w:pPr>
            <w:r>
              <w:rPr>
                <w:rFonts w:hint="eastAsia" w:ascii="宋体" w:hAnsi="宋体"/>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47" w:type="dxa"/>
            <w:vMerge w:val="restart"/>
            <w:vAlign w:val="center"/>
          </w:tcPr>
          <w:p>
            <w:pPr>
              <w:rPr>
                <w:rFonts w:ascii="宋体" w:hAnsi="宋体" w:cs="Arial"/>
                <w:szCs w:val="21"/>
              </w:rPr>
            </w:pPr>
            <w:r>
              <w:rPr>
                <w:rFonts w:hint="eastAsia" w:ascii="宋体" w:hAnsi="宋体" w:cs="Arial"/>
                <w:szCs w:val="21"/>
              </w:rPr>
              <w:t>其它故障</w:t>
            </w:r>
          </w:p>
          <w:p>
            <w:pPr>
              <w:rPr>
                <w:rFonts w:ascii="宋体" w:hAnsi="宋体" w:cs="Arial"/>
                <w:szCs w:val="21"/>
              </w:rPr>
            </w:pPr>
            <w:r>
              <w:rPr>
                <w:rFonts w:hint="eastAsia" w:ascii="宋体" w:hAnsi="宋体" w:cs="Arial"/>
                <w:szCs w:val="21"/>
              </w:rPr>
              <w:t>和服务</w:t>
            </w:r>
          </w:p>
        </w:tc>
        <w:tc>
          <w:tcPr>
            <w:tcW w:w="3080" w:type="dxa"/>
            <w:vMerge w:val="restart"/>
            <w:vAlign w:val="center"/>
          </w:tcPr>
          <w:p>
            <w:pPr>
              <w:rPr>
                <w:rFonts w:ascii="宋体" w:hAnsi="宋体" w:cs="Arial"/>
                <w:szCs w:val="21"/>
              </w:rPr>
            </w:pPr>
            <w:r>
              <w:rPr>
                <w:rFonts w:hint="eastAsia" w:ascii="宋体" w:hAnsi="宋体" w:cs="Arial"/>
                <w:szCs w:val="21"/>
              </w:rPr>
              <w:t>非关键性</w:t>
            </w:r>
          </w:p>
        </w:tc>
        <w:tc>
          <w:tcPr>
            <w:tcW w:w="1073" w:type="dxa"/>
            <w:vAlign w:val="center"/>
          </w:tcPr>
          <w:p>
            <w:pPr>
              <w:rPr>
                <w:rFonts w:ascii="宋体" w:hAnsi="宋体" w:cs="Arial"/>
                <w:szCs w:val="21"/>
              </w:rPr>
            </w:pPr>
            <w:r>
              <w:rPr>
                <w:rFonts w:hint="eastAsia" w:ascii="宋体" w:hAnsi="宋体" w:cs="Arial"/>
                <w:szCs w:val="21"/>
              </w:rPr>
              <w:t>上班时间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cs="Arial"/>
                <w:szCs w:val="21"/>
              </w:rPr>
              <w:t>4小时内</w:t>
            </w:r>
          </w:p>
        </w:tc>
        <w:tc>
          <w:tcPr>
            <w:tcW w:w="1149" w:type="dxa"/>
            <w:vAlign w:val="center"/>
          </w:tcPr>
          <w:p>
            <w:pPr>
              <w:rPr>
                <w:rFonts w:ascii="宋体" w:hAnsi="宋体"/>
                <w:szCs w:val="21"/>
              </w:rPr>
            </w:pPr>
            <w:r>
              <w:rPr>
                <w:rFonts w:hint="eastAsia" w:ascii="宋体" w:hAnsi="宋体" w:cs="Arial"/>
                <w:szCs w:val="21"/>
              </w:rPr>
              <w:t>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47" w:type="dxa"/>
            <w:vMerge w:val="continue"/>
            <w:vAlign w:val="center"/>
          </w:tcPr>
          <w:p>
            <w:pPr>
              <w:rPr>
                <w:rFonts w:ascii="宋体" w:hAnsi="宋体" w:cs="Arial"/>
                <w:szCs w:val="21"/>
              </w:rPr>
            </w:pPr>
          </w:p>
        </w:tc>
        <w:tc>
          <w:tcPr>
            <w:tcW w:w="3080" w:type="dxa"/>
            <w:vMerge w:val="continue"/>
            <w:vAlign w:val="center"/>
          </w:tcPr>
          <w:p>
            <w:pPr>
              <w:rPr>
                <w:rFonts w:ascii="宋体" w:hAnsi="宋体" w:cs="Arial"/>
                <w:szCs w:val="21"/>
              </w:rPr>
            </w:pPr>
          </w:p>
        </w:tc>
        <w:tc>
          <w:tcPr>
            <w:tcW w:w="1073" w:type="dxa"/>
            <w:vAlign w:val="center"/>
          </w:tcPr>
          <w:p>
            <w:pPr>
              <w:rPr>
                <w:rFonts w:ascii="宋体" w:hAnsi="宋体" w:cs="Arial"/>
                <w:szCs w:val="21"/>
              </w:rPr>
            </w:pPr>
            <w:r>
              <w:rPr>
                <w:rFonts w:hint="eastAsia" w:ascii="宋体" w:hAnsi="宋体" w:cs="Arial"/>
                <w:szCs w:val="21"/>
              </w:rPr>
              <w:t>下班时间</w:t>
            </w:r>
          </w:p>
        </w:tc>
        <w:tc>
          <w:tcPr>
            <w:tcW w:w="1073" w:type="dxa"/>
            <w:vAlign w:val="center"/>
          </w:tcPr>
          <w:p>
            <w:pPr>
              <w:rPr>
                <w:rFonts w:ascii="宋体" w:hAnsi="宋体" w:cs="Arial"/>
                <w:szCs w:val="21"/>
              </w:rPr>
            </w:pPr>
            <w:r>
              <w:rPr>
                <w:rFonts w:hint="eastAsia" w:ascii="宋体" w:hAnsi="宋体" w:cs="Arial"/>
                <w:szCs w:val="21"/>
              </w:rPr>
              <w:t>立即响应</w:t>
            </w:r>
          </w:p>
        </w:tc>
        <w:tc>
          <w:tcPr>
            <w:tcW w:w="1091" w:type="dxa"/>
            <w:vAlign w:val="center"/>
          </w:tcPr>
          <w:p>
            <w:pPr>
              <w:rPr>
                <w:rFonts w:ascii="宋体" w:hAnsi="宋体" w:cs="Arial"/>
                <w:szCs w:val="21"/>
              </w:rPr>
            </w:pPr>
            <w:r>
              <w:rPr>
                <w:rFonts w:hint="eastAsia" w:ascii="宋体" w:hAnsi="宋体" w:cs="Arial"/>
                <w:szCs w:val="21"/>
              </w:rPr>
              <w:t>8小时内</w:t>
            </w:r>
          </w:p>
        </w:tc>
        <w:tc>
          <w:tcPr>
            <w:tcW w:w="1149" w:type="dxa"/>
            <w:vAlign w:val="center"/>
          </w:tcPr>
          <w:p>
            <w:pPr>
              <w:rPr>
                <w:rFonts w:ascii="宋体" w:hAnsi="宋体" w:cs="Arial"/>
                <w:szCs w:val="21"/>
              </w:rPr>
            </w:pPr>
            <w:r>
              <w:rPr>
                <w:rFonts w:hint="eastAsia" w:ascii="宋体" w:hAnsi="宋体" w:cs="Arial"/>
                <w:szCs w:val="21"/>
              </w:rPr>
              <w:t>8小时内</w:t>
            </w:r>
          </w:p>
        </w:tc>
      </w:tr>
    </w:tbl>
    <w:p>
      <w:pPr>
        <w:numPr>
          <w:ilvl w:val="0"/>
          <w:numId w:val="7"/>
        </w:numPr>
        <w:spacing w:line="360" w:lineRule="auto"/>
        <w:ind w:left="0" w:firstLine="0"/>
        <w:rPr>
          <w:rFonts w:ascii="宋体" w:hAnsi="Calibri"/>
          <w:szCs w:val="21"/>
        </w:rPr>
      </w:pPr>
      <w:r>
        <w:rPr>
          <w:rFonts w:hint="eastAsia" w:ascii="宋体" w:hAnsi="宋体"/>
          <w:szCs w:val="21"/>
        </w:rPr>
        <w:t>巡检服务：乙方每月一次对系统进行免费检查、维护、诊断，倾听客户反馈，及时发现问题隐患，通过工程改变、系统调整等手段，保持用户系统稳定、高效的运行；每三个月出具一次乙方盖章的巡检报告</w:t>
      </w:r>
      <w:r>
        <w:rPr>
          <w:rFonts w:hint="eastAsia" w:ascii="宋体" w:hAnsi="宋体"/>
        </w:rPr>
        <w:t>。</w:t>
      </w:r>
    </w:p>
    <w:p>
      <w:pPr>
        <w:numPr>
          <w:ilvl w:val="0"/>
          <w:numId w:val="7"/>
        </w:numPr>
        <w:spacing w:line="360" w:lineRule="auto"/>
        <w:ind w:left="0" w:firstLine="0"/>
        <w:rPr>
          <w:rFonts w:ascii="宋体" w:hAnsi="Calibri"/>
          <w:szCs w:val="21"/>
        </w:rPr>
      </w:pPr>
      <w:r>
        <w:rPr>
          <w:rFonts w:hint="eastAsia" w:ascii="宋体" w:hAnsi="宋体"/>
          <w:szCs w:val="21"/>
        </w:rPr>
        <w:t>服务规范：乙方接到甲方的故障通知后均应立即派工程师到甲方现场处理故障，乙方工程师要认真填写《故障记录表》和《操作记录单》，甲乙双方技术人员签字确认。乙方书面报备该季度维护情况和季度巡检中系统相关参数运行情况。</w:t>
      </w:r>
    </w:p>
    <w:p>
      <w:pPr>
        <w:numPr>
          <w:ilvl w:val="0"/>
          <w:numId w:val="7"/>
        </w:numPr>
        <w:spacing w:line="360" w:lineRule="auto"/>
        <w:ind w:left="0" w:firstLine="0"/>
        <w:rPr>
          <w:rFonts w:ascii="宋体" w:hAnsi="宋体"/>
          <w:szCs w:val="21"/>
        </w:rPr>
      </w:pPr>
      <w:r>
        <w:rPr>
          <w:rFonts w:hint="eastAsia" w:ascii="宋体" w:hAnsi="宋体"/>
          <w:szCs w:val="21"/>
        </w:rPr>
        <w:t>服务人员</w:t>
      </w:r>
      <w:r>
        <w:rPr>
          <w:rFonts w:hint="eastAsia" w:ascii="宋体" w:hAnsi="宋体"/>
        </w:rPr>
        <w:t>：</w:t>
      </w:r>
      <w:r>
        <w:rPr>
          <w:rFonts w:hint="eastAsia" w:ascii="宋体" w:hAnsi="宋体"/>
          <w:szCs w:val="21"/>
        </w:rPr>
        <w:t>乙方须在南京派驻</w:t>
      </w:r>
      <w:r>
        <w:rPr>
          <w:rFonts w:ascii="宋体" w:hAnsi="宋体"/>
          <w:szCs w:val="21"/>
          <w:u w:val="single"/>
        </w:rPr>
        <w:t xml:space="preserve">   </w:t>
      </w:r>
      <w:r>
        <w:rPr>
          <w:rFonts w:hint="eastAsia" w:ascii="宋体" w:hAnsi="宋体"/>
          <w:szCs w:val="21"/>
        </w:rPr>
        <w:t>名以上技术服务工程师</w:t>
      </w:r>
      <w:r>
        <w:rPr>
          <w:rFonts w:hint="eastAsia" w:ascii="宋体" w:hAnsi="宋体"/>
        </w:rPr>
        <w:t>，</w:t>
      </w:r>
      <w:r>
        <w:rPr>
          <w:rFonts w:hint="eastAsia" w:ascii="宋体" w:hAnsi="宋体"/>
          <w:szCs w:val="21"/>
        </w:rPr>
        <w:t>为甲方提供7天×24小时的技术支持服务（含国家法定假日），随时提供有效的技术服务与技术支持，未经甲方同意，乙方不得随意调动、调换人员。</w:t>
      </w:r>
    </w:p>
    <w:p>
      <w:pPr>
        <w:numPr>
          <w:ilvl w:val="0"/>
          <w:numId w:val="7"/>
        </w:numPr>
        <w:spacing w:line="360" w:lineRule="auto"/>
        <w:ind w:left="0" w:firstLine="0"/>
        <w:rPr>
          <w:rFonts w:ascii="宋体" w:hAnsi="宋体"/>
          <w:szCs w:val="21"/>
        </w:rPr>
      </w:pPr>
      <w:r>
        <w:rPr>
          <w:rFonts w:ascii="宋体" w:hAnsi="宋体"/>
          <w:szCs w:val="21"/>
        </w:rPr>
        <w:t>培训</w:t>
      </w:r>
      <w:r>
        <w:rPr>
          <w:rFonts w:hint="eastAsia" w:ascii="宋体" w:hAnsi="宋体"/>
          <w:szCs w:val="21"/>
        </w:rPr>
        <w:t>：乙方每季度维护时为用户免费提供技术咨询，如客户需要，免费提供现场培训服务。</w:t>
      </w:r>
    </w:p>
    <w:p>
      <w:pPr>
        <w:numPr>
          <w:ilvl w:val="0"/>
          <w:numId w:val="7"/>
        </w:numPr>
        <w:spacing w:line="360" w:lineRule="auto"/>
        <w:ind w:left="0" w:firstLine="0"/>
        <w:rPr>
          <w:rFonts w:ascii="宋体" w:hAnsi="Calibri"/>
          <w:szCs w:val="21"/>
        </w:rPr>
      </w:pPr>
      <w:r>
        <w:rPr>
          <w:rFonts w:hint="eastAsia" w:ascii="宋体" w:hAnsi="Calibri"/>
          <w:szCs w:val="21"/>
        </w:rPr>
        <w:t>合同涉及的所有VMware vSphere许可软件技术支持服务期限为</w:t>
      </w:r>
      <w:r>
        <w:rPr>
          <w:rFonts w:ascii="宋体" w:hAnsi="Calibri"/>
          <w:szCs w:val="21"/>
          <w:u w:val="single"/>
        </w:rPr>
        <w:t xml:space="preserve">        </w:t>
      </w:r>
      <w:r>
        <w:rPr>
          <w:rFonts w:hint="eastAsia" w:ascii="宋体" w:hAnsi="Calibri"/>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8" w:name="_Toc69378633"/>
      <w:r>
        <w:rPr>
          <w:rFonts w:hint="eastAsia" w:ascii="宋体" w:hAnsi="宋体" w:eastAsia="宋体" w:cs="宋体"/>
          <w:b/>
          <w:bCs w:val="0"/>
          <w:sz w:val="21"/>
          <w:szCs w:val="21"/>
        </w:rPr>
        <w:t>六、验收标准</w:t>
      </w:r>
    </w:p>
    <w:p>
      <w:pPr>
        <w:numPr>
          <w:ilvl w:val="0"/>
          <w:numId w:val="8"/>
        </w:numPr>
        <w:tabs>
          <w:tab w:val="left" w:pos="0"/>
        </w:tabs>
        <w:spacing w:line="360" w:lineRule="auto"/>
        <w:ind w:left="0" w:firstLine="0"/>
        <w:rPr>
          <w:color w:val="000000"/>
          <w:szCs w:val="21"/>
        </w:rPr>
      </w:pPr>
      <w:r>
        <w:rPr>
          <w:rFonts w:hint="eastAsia"/>
          <w:color w:val="000000"/>
          <w:szCs w:val="21"/>
        </w:rPr>
        <w:t>产品授权</w:t>
      </w:r>
      <w:r>
        <w:rPr>
          <w:color w:val="000000"/>
          <w:szCs w:val="21"/>
        </w:rPr>
        <w:t>到货后，甲方对设备数量进行核对，并进行</w:t>
      </w:r>
      <w:r>
        <w:rPr>
          <w:rFonts w:hint="eastAsia"/>
          <w:color w:val="000000"/>
          <w:szCs w:val="21"/>
        </w:rPr>
        <w:t>产品授权</w:t>
      </w:r>
      <w:r>
        <w:rPr>
          <w:color w:val="000000"/>
          <w:szCs w:val="21"/>
        </w:rPr>
        <w:t>验证，确定</w:t>
      </w:r>
      <w:r>
        <w:rPr>
          <w:rFonts w:hint="eastAsia"/>
          <w:color w:val="000000"/>
          <w:szCs w:val="21"/>
        </w:rPr>
        <w:t>产品授权</w:t>
      </w:r>
      <w:r>
        <w:rPr>
          <w:color w:val="000000"/>
          <w:szCs w:val="21"/>
        </w:rPr>
        <w:t>与合同内容无误后视为货到验收合格。</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8"/>
        </w:numPr>
        <w:adjustRightInd w:val="0"/>
        <w:snapToGrid w:val="0"/>
        <w:spacing w:line="360" w:lineRule="auto"/>
        <w:rPr>
          <w:rFonts w:ascii="宋体"/>
          <w:szCs w:val="21"/>
        </w:rPr>
      </w:pPr>
      <w:r>
        <w:rPr>
          <w:rFonts w:hint="eastAsia" w:ascii="宋体" w:hAnsi="宋体"/>
          <w:szCs w:val="21"/>
        </w:rPr>
        <w:t>乙方满足验收条件、提交甲方验收的，甲方应及时组织验收。</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3"/>
      <w:r>
        <w:rPr>
          <w:rFonts w:hint="eastAsia" w:ascii="宋体" w:hAnsi="宋体" w:eastAsia="宋体"/>
          <w:b/>
          <w:kern w:val="2"/>
          <w:sz w:val="21"/>
          <w:szCs w:val="21"/>
        </w:rPr>
        <w:t>七、技术升级和优惠条件</w:t>
      </w:r>
      <w:bookmarkEnd w:id="29"/>
    </w:p>
    <w:p>
      <w:pPr>
        <w:numPr>
          <w:ilvl w:val="0"/>
          <w:numId w:val="9"/>
        </w:numPr>
        <w:tabs>
          <w:tab w:val="left" w:pos="0"/>
          <w:tab w:val="clear" w:pos="420"/>
        </w:tabs>
        <w:adjustRightInd w:val="0"/>
        <w:snapToGrid w:val="0"/>
        <w:spacing w:line="360" w:lineRule="auto"/>
        <w:ind w:left="0" w:firstLine="0"/>
        <w:rPr>
          <w:rFonts w:ascii="宋体" w:hAnsi="宋体"/>
          <w:szCs w:val="21"/>
        </w:rPr>
      </w:pPr>
      <w:bookmarkStart w:id="30" w:name="_Toc47617116"/>
      <w:r>
        <w:rPr>
          <w:rFonts w:hint="eastAsia" w:ascii="宋体" w:hAnsi="宋体"/>
          <w:szCs w:val="21"/>
        </w:rPr>
        <w:t>乙方</w:t>
      </w:r>
      <w:r>
        <w:rPr>
          <w:rFonts w:ascii="宋体" w:hAnsi="宋体"/>
          <w:szCs w:val="21"/>
        </w:rPr>
        <w:t>须负责</w:t>
      </w:r>
      <w:r>
        <w:rPr>
          <w:rFonts w:hint="eastAsia" w:ascii="宋体" w:hAnsi="宋体"/>
          <w:szCs w:val="21"/>
        </w:rPr>
        <w:t>甲方企业信息化虚拟平台的</w:t>
      </w:r>
      <w:r>
        <w:rPr>
          <w:rFonts w:ascii="宋体" w:hAnsi="宋体"/>
          <w:szCs w:val="21"/>
        </w:rPr>
        <w:t>维护及保修，并</w:t>
      </w:r>
      <w:r>
        <w:rPr>
          <w:rFonts w:hint="eastAsia" w:ascii="宋体" w:hAnsi="宋体"/>
          <w:szCs w:val="21"/>
        </w:rPr>
        <w:t>根据采购文件及合同要求</w:t>
      </w:r>
      <w:r>
        <w:rPr>
          <w:rFonts w:ascii="宋体" w:hAnsi="宋体"/>
          <w:szCs w:val="21"/>
        </w:rPr>
        <w:t>进行定期巡检服务</w:t>
      </w:r>
      <w:r>
        <w:rPr>
          <w:rFonts w:hint="eastAsia" w:ascii="宋体" w:hAnsi="宋体"/>
          <w:szCs w:val="21"/>
        </w:rPr>
        <w:t>。</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乙方负责于甲方重大安全播出保障期前进行上述维保范围的巡检。</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须负责</w:t>
      </w:r>
      <w:r>
        <w:rPr>
          <w:rFonts w:hint="eastAsia" w:ascii="宋体" w:hAnsi="宋体"/>
          <w:szCs w:val="21"/>
        </w:rPr>
        <w:t>甲方企业信息化虚拟平台</w:t>
      </w:r>
      <w:r>
        <w:rPr>
          <w:rFonts w:ascii="宋体" w:hAnsi="宋体"/>
          <w:szCs w:val="21"/>
        </w:rPr>
        <w:t>系统升级所产生的相关的安装与维护</w:t>
      </w:r>
      <w:r>
        <w:rPr>
          <w:rFonts w:hint="eastAsia" w:ascii="宋体" w:hAnsi="宋体"/>
          <w:szCs w:val="21"/>
        </w:rPr>
        <w:t>。</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技术人员在服务期间，应严格遵守</w:t>
      </w:r>
      <w:r>
        <w:rPr>
          <w:rFonts w:hint="eastAsia" w:ascii="宋体" w:hAnsi="宋体"/>
          <w:szCs w:val="21"/>
        </w:rPr>
        <w:t>甲方</w:t>
      </w:r>
      <w:r>
        <w:rPr>
          <w:rFonts w:ascii="宋体" w:hAnsi="宋体"/>
          <w:szCs w:val="21"/>
        </w:rPr>
        <w:t>的各项规章制度，接受</w:t>
      </w:r>
      <w:r>
        <w:rPr>
          <w:rFonts w:hint="eastAsia" w:ascii="宋体" w:hAnsi="宋体"/>
          <w:szCs w:val="21"/>
        </w:rPr>
        <w:t>甲方</w:t>
      </w:r>
      <w:r>
        <w:rPr>
          <w:rFonts w:ascii="宋体" w:hAnsi="宋体"/>
          <w:szCs w:val="21"/>
        </w:rPr>
        <w:t>的管理，</w:t>
      </w:r>
      <w:r>
        <w:rPr>
          <w:rFonts w:hint="eastAsia" w:ascii="宋体" w:hAnsi="宋体"/>
          <w:szCs w:val="21"/>
        </w:rPr>
        <w:t>乙方</w:t>
      </w:r>
      <w:r>
        <w:rPr>
          <w:rFonts w:ascii="宋体" w:hAnsi="宋体"/>
          <w:szCs w:val="21"/>
        </w:rPr>
        <w:t>对不能胜任的</w:t>
      </w:r>
      <w:r>
        <w:rPr>
          <w:rFonts w:hint="eastAsia" w:ascii="宋体" w:hAnsi="宋体"/>
          <w:szCs w:val="21"/>
        </w:rPr>
        <w:t>乙方</w:t>
      </w:r>
      <w:r>
        <w:rPr>
          <w:rFonts w:ascii="宋体" w:hAnsi="宋体"/>
          <w:szCs w:val="21"/>
        </w:rPr>
        <w:t>技术人员按</w:t>
      </w:r>
      <w:r>
        <w:rPr>
          <w:rFonts w:hint="eastAsia" w:ascii="宋体" w:hAnsi="宋体"/>
          <w:szCs w:val="21"/>
        </w:rPr>
        <w:t>甲方</w:t>
      </w:r>
      <w:r>
        <w:rPr>
          <w:rFonts w:ascii="宋体" w:hAnsi="宋体"/>
          <w:szCs w:val="21"/>
        </w:rPr>
        <w:t>要求予以更换</w:t>
      </w:r>
      <w:r>
        <w:rPr>
          <w:rFonts w:hint="eastAsia" w:ascii="宋体" w:hAnsi="宋体"/>
          <w:szCs w:val="21"/>
        </w:rPr>
        <w:t>。</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本合同有效期间内，乙方经行业主管部门授予的资格（质）如发生变更，或出现机构变更、歇业、停产、转产等情况，应在15个工作日内书面通知甲方。</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八</w:t>
      </w:r>
      <w:r>
        <w:rPr>
          <w:rFonts w:ascii="宋体" w:hAnsi="宋体" w:eastAsia="宋体"/>
          <w:b/>
          <w:kern w:val="2"/>
          <w:sz w:val="21"/>
          <w:szCs w:val="21"/>
        </w:rPr>
        <w:t>、技术和资料的保密事项</w:t>
      </w:r>
      <w:bookmarkEnd w:id="30"/>
    </w:p>
    <w:p>
      <w:pPr>
        <w:numPr>
          <w:ilvl w:val="0"/>
          <w:numId w:val="10"/>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pPr>
        <w:numPr>
          <w:ilvl w:val="0"/>
          <w:numId w:val="10"/>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pPr>
        <w:numPr>
          <w:ilvl w:val="0"/>
          <w:numId w:val="10"/>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4"/>
      <w:r>
        <w:rPr>
          <w:rFonts w:hint="eastAsia" w:ascii="宋体" w:hAnsi="宋体" w:eastAsia="宋体"/>
          <w:b/>
          <w:kern w:val="2"/>
          <w:sz w:val="21"/>
          <w:szCs w:val="21"/>
        </w:rPr>
        <w:t>九、</w:t>
      </w:r>
      <w:bookmarkEnd w:id="31"/>
      <w:bookmarkStart w:id="32" w:name="_Toc72326305"/>
      <w:r>
        <w:rPr>
          <w:rFonts w:hint="eastAsia" w:ascii="宋体" w:hAnsi="宋体" w:eastAsia="宋体"/>
          <w:b/>
          <w:kern w:val="2"/>
          <w:sz w:val="21"/>
          <w:szCs w:val="21"/>
        </w:rPr>
        <w:t>双方责任</w:t>
      </w:r>
      <w:bookmarkEnd w:id="32"/>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1"/>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甲方需为乙方提供项目实施便利，积极配合乙方进行项目实施及技术服务。</w:t>
      </w:r>
    </w:p>
    <w:p>
      <w:pPr>
        <w:numPr>
          <w:ilvl w:val="0"/>
          <w:numId w:val="11"/>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甲方应指派管理人员、技术人员参加维保工作。</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2"/>
        </w:numPr>
        <w:tabs>
          <w:tab w:val="left" w:pos="0"/>
          <w:tab w:val="clear" w:pos="420"/>
        </w:tabs>
        <w:spacing w:line="360" w:lineRule="auto"/>
        <w:ind w:left="0" w:firstLine="0"/>
        <w:rPr>
          <w:color w:val="000000"/>
          <w:szCs w:val="21"/>
        </w:rPr>
      </w:pPr>
      <w:bookmarkStart w:id="33" w:name="_Toc72326306"/>
      <w:r>
        <w:rPr>
          <w:color w:val="000000"/>
          <w:szCs w:val="21"/>
        </w:rPr>
        <w:t>乙方承诺：除</w:t>
      </w:r>
      <w:r>
        <w:rPr>
          <w:rFonts w:hint="eastAsia"/>
          <w:color w:val="000000"/>
          <w:szCs w:val="21"/>
        </w:rPr>
        <w:t>响应</w:t>
      </w:r>
      <w:r>
        <w:rPr>
          <w:color w:val="000000"/>
          <w:szCs w:val="21"/>
        </w:rPr>
        <w:t>文件及后续书面承诺标明的偏离外，乙方提供的产品和服务均满足</w:t>
      </w:r>
      <w:r>
        <w:rPr>
          <w:rFonts w:hint="eastAsia"/>
          <w:color w:val="000000"/>
          <w:szCs w:val="21"/>
        </w:rPr>
        <w:t>采购</w:t>
      </w:r>
      <w:r>
        <w:rPr>
          <w:color w:val="000000"/>
          <w:szCs w:val="21"/>
        </w:rPr>
        <w:t>文件要求。</w:t>
      </w:r>
    </w:p>
    <w:p>
      <w:pPr>
        <w:numPr>
          <w:ilvl w:val="0"/>
          <w:numId w:val="12"/>
        </w:numPr>
        <w:tabs>
          <w:tab w:val="left" w:pos="0"/>
          <w:tab w:val="clear" w:pos="420"/>
        </w:tabs>
        <w:spacing w:line="360" w:lineRule="auto"/>
        <w:ind w:left="0" w:firstLine="0"/>
        <w:rPr>
          <w:color w:val="000000"/>
          <w:szCs w:val="21"/>
        </w:rPr>
      </w:pPr>
      <w:r>
        <w:rPr>
          <w:color w:val="000000"/>
          <w:szCs w:val="21"/>
        </w:rPr>
        <w:t>乙方应按照</w:t>
      </w:r>
      <w:r>
        <w:rPr>
          <w:rFonts w:hint="eastAsia"/>
          <w:color w:val="000000"/>
          <w:szCs w:val="21"/>
        </w:rPr>
        <w:t>采购</w:t>
      </w:r>
      <w:r>
        <w:rPr>
          <w:color w:val="000000"/>
          <w:szCs w:val="21"/>
        </w:rPr>
        <w:t>文件、</w:t>
      </w:r>
      <w:r>
        <w:rPr>
          <w:rFonts w:hint="eastAsia"/>
          <w:color w:val="000000"/>
          <w:szCs w:val="21"/>
        </w:rPr>
        <w:t>响应</w:t>
      </w:r>
      <w:r>
        <w:rPr>
          <w:color w:val="000000"/>
          <w:szCs w:val="21"/>
        </w:rPr>
        <w:t>文件、乙方后续书面承诺的技术要求以及甲、乙双方协定补充文件，提供合格的产品</w:t>
      </w:r>
      <w:r>
        <w:rPr>
          <w:rFonts w:hint="eastAsia"/>
          <w:color w:val="000000"/>
          <w:szCs w:val="21"/>
        </w:rPr>
        <w:t>和服务</w:t>
      </w:r>
      <w:r>
        <w:rPr>
          <w:color w:val="000000"/>
          <w:szCs w:val="21"/>
        </w:rPr>
        <w:t>，并保证通过甲方的验收。</w:t>
      </w:r>
    </w:p>
    <w:p>
      <w:pPr>
        <w:numPr>
          <w:ilvl w:val="0"/>
          <w:numId w:val="12"/>
        </w:numPr>
        <w:tabs>
          <w:tab w:val="left" w:pos="0"/>
          <w:tab w:val="clear" w:pos="420"/>
        </w:tabs>
        <w:spacing w:line="360" w:lineRule="auto"/>
        <w:ind w:left="0" w:firstLine="0"/>
        <w:rPr>
          <w:color w:val="000000"/>
          <w:szCs w:val="21"/>
        </w:rPr>
      </w:pPr>
      <w:r>
        <w:rPr>
          <w:color w:val="000000"/>
          <w:szCs w:val="21"/>
        </w:rPr>
        <w:t>在</w:t>
      </w:r>
      <w:r>
        <w:rPr>
          <w:rFonts w:hint="eastAsia"/>
          <w:color w:val="000000"/>
          <w:szCs w:val="21"/>
        </w:rPr>
        <w:t>产品</w:t>
      </w:r>
      <w:r>
        <w:rPr>
          <w:color w:val="000000"/>
          <w:szCs w:val="21"/>
        </w:rPr>
        <w:t>安装</w:t>
      </w:r>
      <w:r>
        <w:rPr>
          <w:rFonts w:hint="eastAsia"/>
          <w:color w:val="000000"/>
          <w:szCs w:val="21"/>
        </w:rPr>
        <w:t>和技术服务支撑</w:t>
      </w:r>
      <w:r>
        <w:rPr>
          <w:color w:val="000000"/>
          <w:szCs w:val="21"/>
        </w:rPr>
        <w:t>过程中，乙方须保证不影响甲方现有系统的正常运行和现有业务的正常发展。</w:t>
      </w:r>
    </w:p>
    <w:p>
      <w:pPr>
        <w:numPr>
          <w:ilvl w:val="0"/>
          <w:numId w:val="12"/>
        </w:numPr>
        <w:tabs>
          <w:tab w:val="left" w:pos="0"/>
          <w:tab w:val="clear" w:pos="420"/>
        </w:tabs>
        <w:spacing w:line="360" w:lineRule="auto"/>
        <w:ind w:left="0" w:firstLine="0"/>
        <w:rPr>
          <w:color w:val="000000"/>
          <w:szCs w:val="21"/>
        </w:rPr>
      </w:pPr>
      <w:r>
        <w:rPr>
          <w:color w:val="000000"/>
          <w:szCs w:val="21"/>
        </w:rPr>
        <w:t>乙方保证在</w:t>
      </w:r>
      <w:r>
        <w:rPr>
          <w:rFonts w:hint="eastAsia"/>
          <w:color w:val="000000"/>
          <w:szCs w:val="21"/>
        </w:rPr>
        <w:t>服务</w:t>
      </w:r>
      <w:r>
        <w:rPr>
          <w:color w:val="000000"/>
          <w:szCs w:val="21"/>
        </w:rPr>
        <w:t>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p>
      <w:pPr>
        <w:numPr>
          <w:ilvl w:val="0"/>
          <w:numId w:val="12"/>
        </w:numPr>
        <w:tabs>
          <w:tab w:val="left" w:pos="0"/>
          <w:tab w:val="clear" w:pos="420"/>
        </w:tabs>
        <w:spacing w:line="360" w:lineRule="auto"/>
        <w:ind w:left="0" w:firstLine="0"/>
        <w:rPr>
          <w:color w:val="000000"/>
          <w:szCs w:val="21"/>
        </w:rPr>
      </w:pPr>
      <w:r>
        <w:rPr>
          <w:color w:val="000000"/>
          <w:szCs w:val="21"/>
        </w:rPr>
        <w:t>乙方按照要求提供</w:t>
      </w:r>
      <w:r>
        <w:rPr>
          <w:rFonts w:hint="eastAsia"/>
          <w:color w:val="000000"/>
          <w:szCs w:val="21"/>
        </w:rPr>
        <w:t>维保记录</w:t>
      </w:r>
      <w:r>
        <w:rPr>
          <w:color w:val="000000"/>
          <w:szCs w:val="21"/>
        </w:rPr>
        <w:t>等技术资料。</w:t>
      </w:r>
    </w:p>
    <w:p>
      <w:pPr>
        <w:numPr>
          <w:ilvl w:val="0"/>
          <w:numId w:val="12"/>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pPr>
        <w:numPr>
          <w:ilvl w:val="0"/>
          <w:numId w:val="12"/>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pPr>
        <w:numPr>
          <w:ilvl w:val="0"/>
          <w:numId w:val="12"/>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pPr>
        <w:numPr>
          <w:ilvl w:val="0"/>
          <w:numId w:val="12"/>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2"/>
        </w:numPr>
        <w:tabs>
          <w:tab w:val="left" w:pos="0"/>
          <w:tab w:val="clear" w:pos="420"/>
        </w:tabs>
        <w:spacing w:line="360" w:lineRule="auto"/>
        <w:ind w:left="0" w:right="44" w:rightChars="21" w:firstLine="0"/>
        <w:rPr>
          <w:rFonts w:ascii="宋体" w:hAnsi="宋体"/>
          <w:color w:val="000000"/>
          <w:szCs w:val="21"/>
        </w:rPr>
      </w:pPr>
      <w:r>
        <w:rPr>
          <w:color w:val="000000"/>
          <w:szCs w:val="21"/>
        </w:rPr>
        <w:t>乙方保证按培训计划对甲方技术人员进行培训，向甲方公开所有技术细节和技术资料，使甲方人员具备对系统进行独立运营和维护的能力，保证在系统验收后甲方人员能够进行交接。</w:t>
      </w:r>
    </w:p>
    <w:p>
      <w:pPr>
        <w:numPr>
          <w:ilvl w:val="0"/>
          <w:numId w:val="12"/>
        </w:numPr>
        <w:tabs>
          <w:tab w:val="left" w:pos="0"/>
          <w:tab w:val="clear" w:pos="420"/>
        </w:tabs>
        <w:spacing w:line="36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2"/>
        </w:numPr>
        <w:tabs>
          <w:tab w:val="left" w:pos="0"/>
          <w:tab w:val="clear" w:pos="42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十、违约责任</w:t>
      </w:r>
      <w:bookmarkEnd w:id="33"/>
    </w:p>
    <w:p>
      <w:pPr>
        <w:numPr>
          <w:ilvl w:val="0"/>
          <w:numId w:val="13"/>
        </w:numPr>
        <w:adjustRightInd w:val="0"/>
        <w:snapToGrid w:val="0"/>
        <w:spacing w:line="360" w:lineRule="auto"/>
        <w:ind w:left="0" w:firstLine="0"/>
        <w:rPr>
          <w:rFonts w:ascii="宋体" w:hAnsi="宋体"/>
          <w:szCs w:val="21"/>
        </w:rPr>
      </w:pPr>
      <w:r>
        <w:rPr>
          <w:rFonts w:hint="eastAsia" w:ascii="宋体" w:hAnsi="宋体"/>
          <w:szCs w:val="21"/>
        </w:rPr>
        <w:t>乙方承担本合同约定事项的违约责任，且不因产品是由第三方制造或开发设计等因素而受到影响。</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服务期间，</w:t>
      </w:r>
      <w:r>
        <w:rPr>
          <w:rFonts w:ascii="宋体" w:hAnsi="宋体"/>
          <w:szCs w:val="21"/>
        </w:rPr>
        <w:t>如</w:t>
      </w:r>
      <w:r>
        <w:rPr>
          <w:rFonts w:hint="eastAsia" w:ascii="宋体" w:hAnsi="宋体"/>
          <w:szCs w:val="21"/>
        </w:rPr>
        <w:t>乙方如有一次</w:t>
      </w:r>
      <w:r>
        <w:rPr>
          <w:rFonts w:ascii="宋体" w:hAnsi="宋体"/>
          <w:szCs w:val="21"/>
        </w:rPr>
        <w:t>不能按维护作业计划完成日常维护工作或完成作业计划质量达不到</w:t>
      </w:r>
      <w:r>
        <w:rPr>
          <w:rFonts w:hint="eastAsia" w:ascii="宋体" w:hAnsi="宋体"/>
          <w:szCs w:val="21"/>
        </w:rPr>
        <w:t>合同</w:t>
      </w:r>
      <w:r>
        <w:rPr>
          <w:rFonts w:ascii="宋体" w:hAnsi="宋体"/>
          <w:szCs w:val="21"/>
        </w:rPr>
        <w:t>要求，根据实际情况，</w:t>
      </w:r>
      <w:r>
        <w:rPr>
          <w:rFonts w:hint="eastAsia" w:ascii="宋体" w:hAnsi="宋体"/>
          <w:szCs w:val="21"/>
        </w:rPr>
        <w:t>乙方</w:t>
      </w:r>
      <w:r>
        <w:rPr>
          <w:rFonts w:ascii="宋体" w:hAnsi="宋体"/>
          <w:szCs w:val="21"/>
        </w:rPr>
        <w:t>应按本合同总</w:t>
      </w:r>
      <w:r>
        <w:rPr>
          <w:rFonts w:hint="eastAsia" w:ascii="宋体" w:hAnsi="宋体"/>
          <w:szCs w:val="21"/>
        </w:rPr>
        <w:t>金</w:t>
      </w:r>
      <w:r>
        <w:rPr>
          <w:rFonts w:ascii="宋体" w:hAnsi="宋体"/>
          <w:szCs w:val="21"/>
        </w:rPr>
        <w:t>额的1%向</w:t>
      </w:r>
      <w:r>
        <w:rPr>
          <w:rFonts w:hint="eastAsia" w:ascii="宋体" w:hAnsi="宋体"/>
          <w:szCs w:val="21"/>
        </w:rPr>
        <w:t>甲方</w:t>
      </w:r>
      <w:r>
        <w:rPr>
          <w:rFonts w:ascii="宋体" w:hAnsi="宋体"/>
          <w:szCs w:val="21"/>
        </w:rPr>
        <w:t>支付违约金。</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服务期间，</w:t>
      </w:r>
      <w:r>
        <w:rPr>
          <w:rFonts w:hint="eastAsia" w:ascii="宋体" w:hAnsi="宋体"/>
          <w:szCs w:val="21"/>
        </w:rPr>
        <w:t>乙方</w:t>
      </w:r>
      <w:r>
        <w:rPr>
          <w:rFonts w:ascii="宋体" w:hAnsi="宋体"/>
          <w:szCs w:val="21"/>
        </w:rPr>
        <w:t>技术人员</w:t>
      </w:r>
      <w:r>
        <w:rPr>
          <w:rFonts w:hint="eastAsia" w:ascii="宋体" w:hAnsi="宋体"/>
          <w:szCs w:val="21"/>
        </w:rPr>
        <w:t>如有一次</w:t>
      </w:r>
      <w:r>
        <w:rPr>
          <w:rFonts w:ascii="宋体" w:hAnsi="宋体"/>
          <w:szCs w:val="21"/>
        </w:rPr>
        <w:t>违反</w:t>
      </w:r>
      <w:r>
        <w:rPr>
          <w:rFonts w:hint="eastAsia" w:ascii="宋体" w:hAnsi="宋体"/>
          <w:szCs w:val="21"/>
        </w:rPr>
        <w:t>甲方</w:t>
      </w:r>
      <w:r>
        <w:rPr>
          <w:rFonts w:ascii="宋体" w:hAnsi="宋体"/>
          <w:szCs w:val="21"/>
        </w:rPr>
        <w:t>的规章制度，</w:t>
      </w:r>
      <w:r>
        <w:rPr>
          <w:rFonts w:hint="eastAsia" w:ascii="宋体" w:hAnsi="宋体"/>
          <w:szCs w:val="21"/>
        </w:rPr>
        <w:t>并</w:t>
      </w:r>
      <w:r>
        <w:rPr>
          <w:rFonts w:ascii="宋体" w:hAnsi="宋体"/>
          <w:szCs w:val="21"/>
        </w:rPr>
        <w:t>造成损失的，</w:t>
      </w:r>
      <w:r>
        <w:rPr>
          <w:rFonts w:hint="eastAsia" w:ascii="宋体" w:hAnsi="宋体"/>
          <w:szCs w:val="21"/>
        </w:rPr>
        <w:t>乙方</w:t>
      </w:r>
      <w:r>
        <w:rPr>
          <w:rFonts w:ascii="宋体" w:hAnsi="宋体"/>
          <w:szCs w:val="21"/>
        </w:rPr>
        <w:t>除了无条件更换技术人员外，应按不高于本合同总</w:t>
      </w:r>
      <w:r>
        <w:rPr>
          <w:rFonts w:hint="eastAsia" w:ascii="宋体" w:hAnsi="宋体"/>
          <w:szCs w:val="21"/>
        </w:rPr>
        <w:t>金</w:t>
      </w:r>
      <w:r>
        <w:rPr>
          <w:rFonts w:ascii="宋体" w:hAnsi="宋体"/>
          <w:szCs w:val="21"/>
        </w:rPr>
        <w:t>额的1%向</w:t>
      </w:r>
      <w:r>
        <w:rPr>
          <w:rFonts w:hint="eastAsia" w:ascii="宋体" w:hAnsi="宋体"/>
          <w:szCs w:val="21"/>
        </w:rPr>
        <w:t>甲方</w:t>
      </w:r>
      <w:r>
        <w:rPr>
          <w:rFonts w:ascii="宋体" w:hAnsi="宋体"/>
          <w:szCs w:val="21"/>
        </w:rPr>
        <w:t>支付违约金。</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服务期间，</w:t>
      </w:r>
      <w:r>
        <w:rPr>
          <w:rFonts w:hint="eastAsia" w:ascii="宋体" w:hAnsi="宋体"/>
          <w:szCs w:val="21"/>
        </w:rPr>
        <w:t>乙方</w:t>
      </w:r>
      <w:r>
        <w:rPr>
          <w:rFonts w:ascii="宋体" w:hAnsi="宋体"/>
          <w:szCs w:val="21"/>
        </w:rPr>
        <w:t>人员</w:t>
      </w:r>
      <w:r>
        <w:rPr>
          <w:rFonts w:hint="eastAsia" w:ascii="宋体" w:hAnsi="宋体"/>
          <w:szCs w:val="21"/>
        </w:rPr>
        <w:t>如有一次因</w:t>
      </w:r>
      <w:r>
        <w:rPr>
          <w:rFonts w:ascii="宋体" w:hAnsi="宋体"/>
          <w:szCs w:val="21"/>
        </w:rPr>
        <w:t>操作不当或违犯操作规程造成</w:t>
      </w:r>
      <w:r>
        <w:rPr>
          <w:rFonts w:hint="eastAsia" w:ascii="宋体" w:hAnsi="宋体"/>
          <w:szCs w:val="21"/>
        </w:rPr>
        <w:t>甲方</w:t>
      </w:r>
      <w:r>
        <w:rPr>
          <w:rFonts w:ascii="宋体" w:hAnsi="宋体"/>
          <w:szCs w:val="21"/>
        </w:rPr>
        <w:t>设备损坏，</w:t>
      </w:r>
      <w:r>
        <w:rPr>
          <w:rFonts w:hint="eastAsia" w:ascii="宋体" w:hAnsi="宋体"/>
          <w:szCs w:val="21"/>
        </w:rPr>
        <w:t>乙方</w:t>
      </w:r>
      <w:r>
        <w:rPr>
          <w:rFonts w:ascii="宋体" w:hAnsi="宋体"/>
          <w:szCs w:val="21"/>
        </w:rPr>
        <w:t>应承担损坏设备的全部恢复责任，并向</w:t>
      </w:r>
      <w:r>
        <w:rPr>
          <w:rFonts w:hint="eastAsia" w:ascii="宋体" w:hAnsi="宋体"/>
          <w:szCs w:val="21"/>
        </w:rPr>
        <w:t>甲方</w:t>
      </w:r>
      <w:r>
        <w:rPr>
          <w:rFonts w:ascii="宋体" w:hAnsi="宋体"/>
          <w:szCs w:val="21"/>
        </w:rPr>
        <w:t>支付</w:t>
      </w:r>
      <w:r>
        <w:rPr>
          <w:rFonts w:hint="eastAsia" w:ascii="宋体" w:hAnsi="宋体"/>
          <w:szCs w:val="21"/>
        </w:rPr>
        <w:t>不超过</w:t>
      </w:r>
      <w:r>
        <w:rPr>
          <w:rFonts w:ascii="宋体" w:hAnsi="宋体"/>
          <w:szCs w:val="21"/>
        </w:rPr>
        <w:t>本合同总</w:t>
      </w:r>
      <w:r>
        <w:rPr>
          <w:rFonts w:hint="eastAsia" w:ascii="宋体" w:hAnsi="宋体"/>
          <w:szCs w:val="21"/>
        </w:rPr>
        <w:t>金</w:t>
      </w:r>
      <w:r>
        <w:rPr>
          <w:rFonts w:ascii="宋体" w:hAnsi="宋体"/>
          <w:szCs w:val="21"/>
        </w:rPr>
        <w:t>额5%的违约金。</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未履行本合同中的约定义务，并在接到甲方的书面催告通知后仍未履行，甲方有权解除合同，乙方还应退还甲方已支付款项及相应利息（该利息按照同期银行商业贷款利率计算），乙方应支付合同总价款的20%作为违约金，同时赔偿因此给甲方造成的全部损失。</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72326307"/>
      <w:r>
        <w:rPr>
          <w:rFonts w:hint="eastAsia" w:ascii="宋体" w:hAnsi="宋体" w:eastAsia="宋体"/>
          <w:b/>
          <w:kern w:val="2"/>
          <w:sz w:val="21"/>
          <w:szCs w:val="21"/>
        </w:rPr>
        <w:t>十一、廉洁条款</w:t>
      </w:r>
      <w:bookmarkEnd w:id="34"/>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5" w:name="_Toc72326308"/>
      <w:r>
        <w:rPr>
          <w:rFonts w:hint="eastAsia" w:ascii="宋体" w:hAnsi="宋体" w:eastAsia="宋体"/>
          <w:b/>
          <w:kern w:val="2"/>
          <w:sz w:val="21"/>
          <w:szCs w:val="21"/>
        </w:rPr>
        <w:t>十二、不可抗力</w:t>
      </w:r>
      <w:bookmarkEnd w:id="35"/>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当不可抗力事故终止后，受影响一方应以书面形式通知对方，双方商定合同是否继续履行。</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6" w:name="_Toc72326309"/>
      <w:r>
        <w:rPr>
          <w:rFonts w:hint="eastAsia" w:ascii="宋体" w:hAnsi="宋体" w:eastAsia="宋体"/>
          <w:b/>
          <w:kern w:val="2"/>
          <w:sz w:val="21"/>
          <w:szCs w:val="21"/>
        </w:rPr>
        <w:t>十三、解决纠纷的方式</w:t>
      </w:r>
      <w:bookmarkEnd w:id="36"/>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6"/>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6"/>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7" w:name="_Toc72326310"/>
      <w:r>
        <w:rPr>
          <w:rFonts w:hint="eastAsia" w:ascii="宋体" w:hAnsi="宋体" w:eastAsia="宋体"/>
          <w:b/>
          <w:kern w:val="2"/>
          <w:sz w:val="21"/>
          <w:szCs w:val="21"/>
        </w:rPr>
        <w:t>十四、合同生效及其他</w:t>
      </w:r>
      <w:bookmarkEnd w:id="37"/>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7"/>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8" w:name="_Toc72326311"/>
      <w:r>
        <w:rPr>
          <w:rFonts w:hint="eastAsia" w:ascii="宋体" w:hAnsi="宋体" w:eastAsia="宋体"/>
          <w:b/>
          <w:kern w:val="2"/>
          <w:sz w:val="21"/>
          <w:szCs w:val="21"/>
        </w:rPr>
        <w:t>十五、附件列表</w:t>
      </w:r>
      <w:bookmarkEnd w:id="38"/>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rPr>
          <w:rFonts w:ascii="宋体"/>
          <w:szCs w:val="21"/>
        </w:rPr>
      </w:pPr>
      <w:r>
        <w:rPr>
          <w:rFonts w:hint="eastAsia" w:ascii="宋体" w:hAnsi="宋体"/>
          <w:szCs w:val="21"/>
        </w:rPr>
        <w:t>附件二：技术需求书</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8"/>
    </w:p>
    <w:p>
      <w:pPr>
        <w:spacing w:line="300" w:lineRule="auto"/>
        <w:ind w:firstLine="5040" w:firstLineChars="2400"/>
        <w:rPr>
          <w:szCs w:val="21"/>
        </w:rPr>
      </w:pPr>
      <w:r>
        <w:rPr>
          <w:szCs w:val="21"/>
        </w:rPr>
        <w:br w:type="page"/>
      </w:r>
    </w:p>
    <w:p>
      <w:pPr>
        <w:spacing w:line="300" w:lineRule="auto"/>
        <w:jc w:val="left"/>
        <w:rPr>
          <w:rFonts w:ascii="宋体" w:hAnsi="宋体" w:cs="宋体"/>
          <w:b/>
          <w:bCs/>
          <w:color w:val="000000"/>
        </w:rPr>
      </w:pPr>
      <w:r>
        <w:rPr>
          <w:rFonts w:hint="eastAsia" w:ascii="宋体" w:hAnsi="宋体" w:cs="宋体"/>
          <w:b/>
          <w:bCs/>
          <w:color w:val="000000"/>
        </w:rPr>
        <w:t>附件一：价格表</w:t>
      </w: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r>
        <w:rPr>
          <w:rFonts w:hint="eastAsia" w:ascii="宋体" w:hAnsi="宋体" w:cs="宋体"/>
          <w:b/>
          <w:bCs/>
          <w:color w:val="000000"/>
        </w:rPr>
        <w:t>附件二：技术需求书</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39" w:name="_Toc69378637"/>
      <w:r>
        <w:rPr>
          <w:rFonts w:hint="eastAsia"/>
          <w:b/>
          <w:sz w:val="36"/>
          <w:szCs w:val="36"/>
        </w:rPr>
        <w:t>第五章 技术需求书</w:t>
      </w:r>
      <w:bookmarkEnd w:id="39"/>
    </w:p>
    <w:p>
      <w:pPr>
        <w:pStyle w:val="89"/>
        <w:numPr>
          <w:ilvl w:val="0"/>
          <w:numId w:val="18"/>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8"/>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8"/>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18"/>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bookmarkStart w:id="40" w:name="_Toc76856250"/>
      <w:bookmarkStart w:id="41" w:name="_Toc30212"/>
      <w:bookmarkStart w:id="42" w:name="_Toc76996580"/>
      <w:bookmarkStart w:id="43" w:name="_Toc51053569"/>
      <w:bookmarkStart w:id="44" w:name="_Toc31826"/>
    </w:p>
    <w:p>
      <w:pPr>
        <w:pStyle w:val="5"/>
        <w:rPr>
          <w:rFonts w:asciiTheme="minorEastAsia" w:hAnsiTheme="minorEastAsia" w:eastAsiaTheme="minorEastAsia"/>
          <w:b/>
          <w:sz w:val="21"/>
          <w:szCs w:val="21"/>
        </w:rPr>
      </w:pPr>
      <w:r>
        <w:rPr>
          <w:rFonts w:hint="eastAsia" w:asciiTheme="minorEastAsia" w:hAnsiTheme="minorEastAsia" w:eastAsiaTheme="minorEastAsia"/>
          <w:b/>
          <w:sz w:val="21"/>
          <w:szCs w:val="21"/>
        </w:rPr>
        <w:t>1 建设目标</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结合公司的业务发展和信息化建设的需求，通过专业的运维服务和管理，为江苏有线的VMware虚拟化平台的安全稳定运行提供有力保障，及时有效解决系统在日常工作中出现的各类故障，确保系统的正常运作。总体要求如下：</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szCs w:val="21"/>
        </w:rPr>
        <w:t>13个CPU的Vmware vSphere正版授权；</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、VMware vSphere 220个CPU许可软件的1年技术支持服务，要求提供不少于2名驻场运维服务人员。</w:t>
      </w:r>
    </w:p>
    <w:p>
      <w:pPr>
        <w:pStyle w:val="5"/>
        <w:rPr>
          <w:rFonts w:asciiTheme="minorEastAsia" w:hAnsiTheme="minorEastAsia" w:eastAsiaTheme="minorEastAsia"/>
          <w:b/>
          <w:sz w:val="21"/>
          <w:szCs w:val="21"/>
        </w:rPr>
      </w:pPr>
      <w:r>
        <w:rPr>
          <w:rFonts w:asciiTheme="minorEastAsia" w:hAnsiTheme="minorEastAsia" w:eastAsiaTheme="minorEastAsia"/>
          <w:b/>
          <w:sz w:val="21"/>
          <w:szCs w:val="21"/>
        </w:rPr>
        <w:t xml:space="preserve">2 </w:t>
      </w:r>
      <w:r>
        <w:rPr>
          <w:rFonts w:hint="eastAsia" w:asciiTheme="minorEastAsia" w:hAnsiTheme="minorEastAsia" w:eastAsiaTheme="minorEastAsia"/>
          <w:b/>
          <w:sz w:val="21"/>
          <w:szCs w:val="21"/>
        </w:rPr>
        <w:t>功能实现</w:t>
      </w:r>
    </w:p>
    <w:p>
      <w:pPr>
        <w:pStyle w:val="2"/>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2.1 </w:t>
      </w:r>
      <w:r>
        <w:rPr>
          <w:rFonts w:hint="eastAsia" w:asciiTheme="minorEastAsia" w:hAnsiTheme="minorEastAsia" w:eastAsiaTheme="minorEastAsia"/>
          <w:sz w:val="21"/>
          <w:szCs w:val="21"/>
        </w:rPr>
        <w:t>产品授权</w:t>
      </w:r>
    </w:p>
    <w:p>
      <w:pPr>
        <w:spacing w:line="360" w:lineRule="auto"/>
        <w:ind w:firstLine="420" w:firstLineChars="200"/>
      </w:pPr>
      <w:r>
        <w:rPr>
          <w:rFonts w:cs="Segoe UI Symbol" w:asciiTheme="minorEastAsia" w:hAnsiTheme="minorEastAsia" w:eastAsiaTheme="minorEastAsia"/>
          <w:szCs w:val="21"/>
        </w:rPr>
        <w:t>★</w:t>
      </w:r>
      <w:r>
        <w:rPr>
          <w:rFonts w:hint="eastAsia" w:cs="Segoe UI Symbol" w:asciiTheme="minorEastAsia" w:hAnsiTheme="minorEastAsia" w:eastAsiaTheme="minorEastAsia"/>
          <w:szCs w:val="21"/>
        </w:rPr>
        <w:t>提供</w:t>
      </w:r>
      <w:r>
        <w:rPr>
          <w:rFonts w:hint="eastAsia" w:asciiTheme="minorEastAsia" w:hAnsiTheme="minorEastAsia" w:eastAsiaTheme="minorEastAsia"/>
          <w:szCs w:val="21"/>
        </w:rPr>
        <w:t>13个CPU的Vmware vSphere正版授权。</w:t>
      </w:r>
    </w:p>
    <w:p>
      <w:pPr>
        <w:pStyle w:val="2"/>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r>
        <w:rPr>
          <w:rFonts w:hint="eastAsia" w:asciiTheme="minorEastAsia" w:hAnsiTheme="minorEastAsia" w:eastAsiaTheme="minorEastAsia"/>
          <w:sz w:val="21"/>
          <w:szCs w:val="21"/>
        </w:rPr>
        <w:t>运营服务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1、负责VMware虚拟化平台资源的全生命周期管理，包括资产管理、配置管理、工单处理、资源池建设、VM资源申请、扩容、分发、回收等工作。</w:t>
      </w:r>
    </w:p>
    <w:p>
      <w:pPr>
        <w:spacing w:line="360" w:lineRule="auto"/>
        <w:ind w:firstLine="371" w:firstLineChars="177"/>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2、协助推进Vmware虚拟化平台、操作系统和中间件标准化建设及落地，包括但局限于制定服务器虚拟化软件、操作系统、中间件等软件的安装部署流程的标准化，以及命名规范、配置项、优化项、运维管理制度的标准化。</w:t>
      </w:r>
    </w:p>
    <w:p>
      <w:pPr>
        <w:spacing w:line="360" w:lineRule="auto"/>
        <w:ind w:firstLine="371" w:firstLineChars="177"/>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3、协助推进私有云平台基础架构和服务模型的标准化建设及落地，包括但不局限于制定私有云硬件配置模型，根据业务资源需求制定相应的落池规范，形成标准化的I</w:t>
      </w:r>
      <w:r>
        <w:rPr>
          <w:rFonts w:asciiTheme="minorEastAsia" w:hAnsiTheme="minorEastAsia" w:eastAsiaTheme="minorEastAsia"/>
          <w:color w:val="000000" w:themeColor="text1"/>
          <w:szCs w:val="21"/>
          <w14:textFill>
            <w14:solidFill>
              <w14:schemeClr w14:val="tx1"/>
            </w14:solidFill>
          </w14:textFill>
        </w:rPr>
        <w:t>AAS</w:t>
      </w:r>
      <w:r>
        <w:rPr>
          <w:rFonts w:hint="eastAsia" w:asciiTheme="minorEastAsia" w:hAnsiTheme="minorEastAsia" w:eastAsiaTheme="minorEastAsia"/>
          <w:color w:val="000000" w:themeColor="text1"/>
          <w:szCs w:val="21"/>
          <w14:textFill>
            <w14:solidFill>
              <w14:schemeClr w14:val="tx1"/>
            </w14:solidFill>
          </w14:textFill>
        </w:rPr>
        <w:t>服务流程和管理制度。</w:t>
      </w:r>
    </w:p>
    <w:p>
      <w:pPr>
        <w:spacing w:line="360" w:lineRule="auto"/>
        <w:ind w:firstLine="371" w:firstLineChars="177"/>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4、协助推进运维标准化、自动化、智能化建设，包括但不局限于建设统一的监控告警机制，标准的运维工单处理流程和合规审核制度，重复性的工作形成自动化的解决方案，借助A</w:t>
      </w:r>
      <w:r>
        <w:rPr>
          <w:rFonts w:asciiTheme="minorEastAsia" w:hAnsiTheme="minorEastAsia" w:eastAsiaTheme="minorEastAsia"/>
          <w:color w:val="000000" w:themeColor="text1"/>
          <w:szCs w:val="21"/>
          <w14:textFill>
            <w14:solidFill>
              <w14:schemeClr w14:val="tx1"/>
            </w14:solidFill>
          </w14:textFill>
        </w:rPr>
        <w:t>IOPS</w:t>
      </w:r>
      <w:r>
        <w:rPr>
          <w:rFonts w:hint="eastAsia" w:asciiTheme="minorEastAsia" w:hAnsiTheme="minorEastAsia" w:eastAsiaTheme="minorEastAsia"/>
          <w:color w:val="000000" w:themeColor="text1"/>
          <w:szCs w:val="21"/>
          <w14:textFill>
            <w14:solidFill>
              <w14:schemeClr w14:val="tx1"/>
            </w14:solidFill>
          </w14:textFill>
        </w:rPr>
        <w:t>服务台，使得整个平台的运营管理上能够达到一定的智能化水平。</w:t>
      </w:r>
    </w:p>
    <w:p>
      <w:pPr>
        <w:spacing w:line="360" w:lineRule="auto"/>
        <w:ind w:firstLine="371" w:firstLineChars="17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5、协助引入和推进私有云平台基础架构各类先进服务的使用和运维管理，如Vmware的先进的</w:t>
      </w:r>
      <w:bookmarkStart w:id="45" w:name="&amp;lpos=nav_topbar_apps_cloud_products_clo"/>
      <w:r>
        <w:rPr>
          <w:rFonts w:hint="eastAsia" w:asciiTheme="minorEastAsia" w:hAnsiTheme="minorEastAsia" w:eastAsiaTheme="minorEastAsia"/>
          <w:color w:val="000000" w:themeColor="text1"/>
          <w:szCs w:val="21"/>
          <w14:textFill>
            <w14:solidFill>
              <w14:schemeClr w14:val="tx1"/>
            </w14:solidFill>
          </w14:textFill>
        </w:rPr>
        <w:t>vRealize</w:t>
      </w:r>
      <w:bookmarkEnd w:id="45"/>
      <w:r>
        <w:rPr>
          <w:rFonts w:hint="eastAsia" w:asciiTheme="minorEastAsia" w:hAnsiTheme="minorEastAsia" w:eastAsiaTheme="minorEastAsia"/>
          <w:color w:val="000000" w:themeColor="text1"/>
          <w:szCs w:val="21"/>
          <w14:textFill>
            <w14:solidFill>
              <w14:schemeClr w14:val="tx1"/>
            </w14:solidFill>
          </w14:textFill>
        </w:rPr>
        <w:t>和</w:t>
      </w:r>
      <w:r>
        <w:rPr>
          <w:rFonts w:asciiTheme="minorEastAsia" w:hAnsiTheme="minorEastAsia" w:eastAsiaTheme="minorEastAsia"/>
          <w:color w:val="000000" w:themeColor="text1"/>
          <w:szCs w:val="21"/>
          <w14:textFill>
            <w14:solidFill>
              <w14:schemeClr w14:val="tx1"/>
            </w14:solidFill>
          </w14:textFill>
        </w:rPr>
        <w:t>vCloud Suite</w:t>
      </w:r>
      <w:r>
        <w:rPr>
          <w:rFonts w:hint="eastAsia" w:asciiTheme="minorEastAsia" w:hAnsiTheme="minorEastAsia" w:eastAsiaTheme="minorEastAsia"/>
          <w:color w:val="000000" w:themeColor="text1"/>
          <w:szCs w:val="21"/>
          <w14:textFill>
            <w14:solidFill>
              <w14:schemeClr w14:val="tx1"/>
            </w14:solidFill>
          </w14:textFill>
        </w:rPr>
        <w:t>解决方案，推进各类服务的自动化、可视化和自服务能力建设。</w:t>
      </w:r>
    </w:p>
    <w:p>
      <w:pPr>
        <w:pStyle w:val="2"/>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r>
        <w:rPr>
          <w:rFonts w:hint="eastAsia" w:asciiTheme="minorEastAsia" w:hAnsiTheme="minorEastAsia" w:eastAsiaTheme="minorEastAsia"/>
          <w:sz w:val="21"/>
          <w:szCs w:val="21"/>
        </w:rPr>
        <w:t>运维服务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1、包括但不限于V</w:t>
      </w:r>
      <w:r>
        <w:rPr>
          <w:rFonts w:asciiTheme="minorEastAsia" w:hAnsiTheme="minorEastAsia" w:eastAsiaTheme="minorEastAsia"/>
          <w:color w:val="000000" w:themeColor="text1"/>
          <w:szCs w:val="21"/>
          <w14:textFill>
            <w14:solidFill>
              <w14:schemeClr w14:val="tx1"/>
            </w14:solidFill>
          </w14:textFill>
        </w:rPr>
        <w:t>C</w:t>
      </w:r>
      <w:r>
        <w:rPr>
          <w:rFonts w:hint="eastAsia" w:asciiTheme="minorEastAsia" w:hAnsiTheme="minorEastAsia" w:eastAsiaTheme="minorEastAsia"/>
          <w:color w:val="000000" w:themeColor="text1"/>
          <w:szCs w:val="21"/>
          <w14:textFill>
            <w14:solidFill>
              <w14:schemeClr w14:val="tx1"/>
            </w14:solidFill>
          </w14:textFill>
        </w:rPr>
        <w:t>、E</w:t>
      </w:r>
      <w:r>
        <w:rPr>
          <w:rFonts w:asciiTheme="minorEastAsia" w:hAnsiTheme="minorEastAsia" w:eastAsiaTheme="minorEastAsia"/>
          <w:color w:val="000000" w:themeColor="text1"/>
          <w:szCs w:val="21"/>
          <w14:textFill>
            <w14:solidFill>
              <w14:schemeClr w14:val="tx1"/>
            </w14:solidFill>
          </w14:textFill>
        </w:rPr>
        <w:t>SX</w:t>
      </w:r>
      <w:r>
        <w:rPr>
          <w:rFonts w:hint="eastAsia" w:asciiTheme="minorEastAsia" w:hAnsiTheme="minorEastAsia" w:eastAsiaTheme="minorEastAsia"/>
          <w:color w:val="000000" w:themeColor="text1"/>
          <w:szCs w:val="21"/>
          <w14:textFill>
            <w14:solidFill>
              <w14:schemeClr w14:val="tx1"/>
            </w14:solidFill>
          </w14:textFill>
        </w:rPr>
        <w:t>i、V</w:t>
      </w:r>
      <w:r>
        <w:rPr>
          <w:rFonts w:asciiTheme="minorEastAsia" w:hAnsiTheme="minorEastAsia" w:eastAsiaTheme="minorEastAsia"/>
          <w:color w:val="000000" w:themeColor="text1"/>
          <w:szCs w:val="21"/>
          <w14:textFill>
            <w14:solidFill>
              <w14:schemeClr w14:val="tx1"/>
            </w14:solidFill>
          </w14:textFill>
        </w:rPr>
        <w:t>SAN</w:t>
      </w:r>
      <w:r>
        <w:rPr>
          <w:rFonts w:hint="eastAsia" w:asciiTheme="minorEastAsia" w:hAnsiTheme="minorEastAsia" w:eastAsiaTheme="minorEastAsia"/>
          <w:color w:val="000000" w:themeColor="text1"/>
          <w:szCs w:val="21"/>
          <w14:textFill>
            <w14:solidFill>
              <w14:schemeClr w14:val="tx1"/>
            </w14:solidFill>
          </w14:textFill>
        </w:rPr>
        <w:t>、N</w:t>
      </w:r>
      <w:r>
        <w:rPr>
          <w:rFonts w:asciiTheme="minorEastAsia" w:hAnsiTheme="minorEastAsia" w:eastAsiaTheme="minorEastAsia"/>
          <w:color w:val="000000" w:themeColor="text1"/>
          <w:szCs w:val="21"/>
          <w14:textFill>
            <w14:solidFill>
              <w14:schemeClr w14:val="tx1"/>
            </w14:solidFill>
          </w14:textFill>
        </w:rPr>
        <w:t>SX</w:t>
      </w:r>
      <w:r>
        <w:rPr>
          <w:rFonts w:hint="eastAsia" w:asciiTheme="minorEastAsia" w:hAnsiTheme="minorEastAsia" w:eastAsiaTheme="minorEastAsia"/>
          <w:color w:val="000000" w:themeColor="text1"/>
          <w:szCs w:val="21"/>
          <w14:textFill>
            <w14:solidFill>
              <w14:schemeClr w14:val="tx1"/>
            </w14:solidFill>
          </w14:textFill>
        </w:rPr>
        <w:t>、V</w:t>
      </w:r>
      <w:r>
        <w:rPr>
          <w:rFonts w:asciiTheme="minorEastAsia" w:hAnsiTheme="minorEastAsia" w:eastAsiaTheme="minorEastAsia"/>
          <w:color w:val="000000" w:themeColor="text1"/>
          <w:szCs w:val="21"/>
          <w14:textFill>
            <w14:solidFill>
              <w14:schemeClr w14:val="tx1"/>
            </w14:solidFill>
          </w14:textFill>
        </w:rPr>
        <w:t>UM</w:t>
      </w:r>
      <w:r>
        <w:rPr>
          <w:rFonts w:hint="eastAsia" w:asciiTheme="minorEastAsia" w:hAnsiTheme="minorEastAsia" w:eastAsiaTheme="minorEastAsia"/>
          <w:color w:val="000000" w:themeColor="text1"/>
          <w:szCs w:val="21"/>
          <w14:textFill>
            <w14:solidFill>
              <w14:schemeClr w14:val="tx1"/>
            </w14:solidFill>
          </w14:textFill>
        </w:rPr>
        <w:t>的运维管理、日志提取与分析、故障处理；相关的日常巡检、计划内变更、紧急问题修复、故障处理等工作。</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2、包括所有主机的CPU、内存、磁盘，共享存储、使用情况统计以及分析平台告警和错误信息。报告要清楚说明运维服务的开展情况，完成的巡检内容和故障处置情况等。</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3、定期针对虚拟机、虚拟存储、虚拟网络、账号、模板等进行基线检查，以满足企业的安全要求。</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、协助处理操作系统、中间件管理运维、安全补丁升级，镜像管理与升级，相关的日常巡检、计划内变更、紧急问题修复、故障处理等工作。</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、提供包括但不局限于运维方案设计、运维投产测试、运维方案实施和维护、用户反馈处理、相关文档的编写等。</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、提供特殊时段（包括生产系统版本投产、变更期间以及两会、国庆、其它重大国事活动期间）的现场保障服务。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、当出现重大系统事故或驻场技术服务无法解决的系统问题时，服务</w:t>
      </w:r>
      <w:r>
        <w:rPr>
          <w:rFonts w:asciiTheme="minorEastAsia" w:hAnsiTheme="minorEastAsia" w:eastAsiaTheme="minorEastAsia"/>
          <w:color w:val="000000" w:themeColor="text1"/>
          <w:szCs w:val="21"/>
          <w14:textFill>
            <w14:solidFill>
              <w14:schemeClr w14:val="tx1"/>
            </w14:solidFill>
          </w14:textFill>
        </w:rPr>
        <w:t>商</w:t>
      </w:r>
      <w:r>
        <w:rPr>
          <w:rFonts w:hint="eastAsia" w:asciiTheme="minorEastAsia" w:hAnsiTheme="minorEastAsia" w:eastAsiaTheme="minorEastAsia"/>
          <w:color w:val="000000" w:themeColor="text1"/>
          <w:szCs w:val="21"/>
          <w14:textFill>
            <w14:solidFill>
              <w14:schemeClr w14:val="tx1"/>
            </w14:solidFill>
          </w14:textFill>
        </w:rPr>
        <w:t>负责安排资深技术人员到江苏有线现场进行诊断和排除故障，并出具最终的故障报告。</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2.4</w:t>
      </w:r>
      <w:r>
        <w:rPr>
          <w:rFonts w:hint="eastAsia" w:asciiTheme="minorEastAsia" w:hAnsiTheme="minorEastAsia" w:eastAsiaTheme="minorEastAsia"/>
          <w:sz w:val="21"/>
          <w:szCs w:val="21"/>
        </w:rPr>
        <w:t>运维服务体系建设</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按照ITIL管理模式对服务范围进行运维管理，建立一套运行维护管理服务体系，对维护工作实行全程监控和记录并制作成文档，技术资料和帮助文件等文档资料。</w:t>
      </w:r>
      <w:r>
        <w:rPr>
          <w:rFonts w:asciiTheme="minorEastAsia" w:hAnsiTheme="minorEastAsia" w:eastAsiaTheme="minorEastAsia"/>
          <w:color w:val="000000" w:themeColor="text1"/>
          <w:szCs w:val="21"/>
          <w14:textFill>
            <w14:solidFill>
              <w14:schemeClr w14:val="tx1"/>
            </w14:solidFill>
          </w14:textFill>
        </w:rPr>
        <w:t xml:space="preserve"> </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2.5</w:t>
      </w:r>
      <w:r>
        <w:rPr>
          <w:rFonts w:hint="eastAsia" w:asciiTheme="minorEastAsia" w:hAnsiTheme="minorEastAsia" w:eastAsiaTheme="minorEastAsia"/>
          <w:sz w:val="21"/>
          <w:szCs w:val="21"/>
        </w:rPr>
        <w:t>运维监控平台建设</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提供运维监控平台，并可熟练使用该平台支撑saltstack、ansible、OpenFaclon等工具使用。</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提供AIOPS运维监控平台，1、运营态势，能够支撑Vmware虚拟化平台、操作系统和中间件的各维度态势和趋势视图，按月提供相应的运行分析报告，以及告警推送和管理。2、资产识别，可以识别Vmware虚拟化平台的资产的状态，多维度多向模型为流程平台的配置变更等流程预置API接口。3、ITSM服务台，包括： 知识管理、任务管理、作业计划管理、值班管理、项目管理、日常工作报告等。</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使用工具支撑形成Vmware虚拟化平台、操作系统和中间件的各维度态势和趋势视图，按月提供相应的运行分析报告。</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（2）协助推进运维配套工具建设，包括但不仅限于软件仓库、配置库、NTP、DNS等。 </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2.6</w:t>
      </w:r>
      <w:r>
        <w:rPr>
          <w:rFonts w:hint="eastAsia" w:asciiTheme="minorEastAsia" w:hAnsiTheme="minorEastAsia" w:eastAsiaTheme="minorEastAsia"/>
          <w:sz w:val="21"/>
          <w:szCs w:val="21"/>
        </w:rPr>
        <w:t>补丁管理和升级服务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定期推送最新的安全补丁或版本信息，并提供补丁更新或升级建议，协助江苏有线完成虚拟化平台的补丁更新或升级工作。</w:t>
      </w:r>
    </w:p>
    <w:p>
      <w:pPr>
        <w:pStyle w:val="2"/>
        <w:rPr>
          <w:rFonts w:asciiTheme="minorEastAsia" w:hAnsiTheme="minorEastAsia" w:eastAsiaTheme="minorEastAsia"/>
          <w:sz w:val="21"/>
          <w:szCs w:val="21"/>
        </w:rPr>
      </w:pPr>
      <w:r>
        <w:rPr>
          <w:rFonts w:asciiTheme="minorEastAsia" w:hAnsiTheme="minorEastAsia" w:eastAsiaTheme="minorEastAsia"/>
          <w:sz w:val="21"/>
          <w:szCs w:val="21"/>
        </w:rPr>
        <w:t>2.7</w:t>
      </w:r>
      <w:r>
        <w:rPr>
          <w:rFonts w:hint="eastAsia" w:asciiTheme="minorEastAsia" w:hAnsiTheme="minorEastAsia" w:eastAsiaTheme="minorEastAsia"/>
          <w:sz w:val="21"/>
          <w:szCs w:val="21"/>
        </w:rPr>
        <w:t>咨询服务</w:t>
      </w:r>
    </w:p>
    <w:p>
      <w:pPr>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cs="Segoe UI Symbol" w:asciiTheme="minorEastAsia" w:hAnsiTheme="minorEastAsia" w:eastAsiaTheme="minorEastAsia"/>
          <w:szCs w:val="21"/>
        </w:rPr>
        <w:t>★</w:t>
      </w:r>
      <w:r>
        <w:rPr>
          <w:rFonts w:hint="eastAsia" w:asciiTheme="minorEastAsia" w:hAnsiTheme="minorEastAsia" w:eastAsiaTheme="minorEastAsia"/>
          <w:color w:val="000000" w:themeColor="text1"/>
          <w:szCs w:val="21"/>
          <w14:textFill>
            <w14:solidFill>
              <w14:schemeClr w14:val="tx1"/>
            </w14:solidFill>
          </w14:textFill>
        </w:rPr>
        <w:t>根据日常运维情况主动预防、预警、预测，及时发现系统存在的主要问题和薄弱环节。建立专家支持服务，根据技术发展趋势及市场环境，对系统提交优化建议。</w:t>
      </w:r>
    </w:p>
    <w:p>
      <w:pPr>
        <w:pStyle w:val="5"/>
        <w:rPr>
          <w:rFonts w:asciiTheme="minorEastAsia" w:hAnsiTheme="minorEastAsia" w:eastAsiaTheme="minorEastAsia"/>
          <w:b/>
          <w:sz w:val="21"/>
          <w:szCs w:val="21"/>
        </w:rPr>
      </w:pPr>
      <w:r>
        <w:rPr>
          <w:rFonts w:asciiTheme="minorEastAsia" w:hAnsiTheme="minorEastAsia" w:eastAsiaTheme="minorEastAsia"/>
          <w:b/>
          <w:sz w:val="21"/>
          <w:szCs w:val="21"/>
        </w:rPr>
        <w:t xml:space="preserve">3 </w:t>
      </w:r>
      <w:r>
        <w:rPr>
          <w:rFonts w:hint="eastAsia" w:asciiTheme="minorEastAsia" w:hAnsiTheme="minorEastAsia" w:eastAsiaTheme="minorEastAsia"/>
          <w:b/>
          <w:sz w:val="21"/>
          <w:szCs w:val="21"/>
        </w:rPr>
        <w:t>系统架构与部署方案</w:t>
      </w:r>
    </w:p>
    <w:p>
      <w:pPr>
        <w:widowControl/>
        <w:spacing w:after="156" w:afterLines="50" w:line="300" w:lineRule="auto"/>
        <w:ind w:right="210" w:rightChars="100" w:firstLine="454"/>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架构</w:t>
      </w:r>
      <w:r>
        <w:rPr>
          <w:rFonts w:hint="eastAsia" w:asciiTheme="minorEastAsia" w:hAnsiTheme="minorEastAsia" w:eastAsiaTheme="minorEastAsia"/>
          <w:color w:val="000000" w:themeColor="text1"/>
          <w:szCs w:val="21"/>
          <w14:textFill>
            <w14:solidFill>
              <w14:schemeClr w14:val="tx1"/>
            </w14:solidFill>
          </w14:textFill>
        </w:rPr>
        <w:t>图如下</w:t>
      </w:r>
      <w:r>
        <w:rPr>
          <w:rFonts w:asciiTheme="minorEastAsia" w:hAnsiTheme="minorEastAsia" w:eastAsiaTheme="minorEastAsia"/>
          <w:color w:val="000000" w:themeColor="text1"/>
          <w:szCs w:val="21"/>
          <w14:textFill>
            <w14:solidFill>
              <w14:schemeClr w14:val="tx1"/>
            </w14:solidFill>
          </w14:textFill>
        </w:rPr>
        <w:t>：</w:t>
      </w:r>
    </w:p>
    <w:p>
      <w:r>
        <w:object>
          <v:shape id="_x0000_i1025" o:spt="75" type="#_x0000_t75" style="height:393.5pt;width:35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管理</w:t>
      </w:r>
      <w:r>
        <w:rPr>
          <w:rFonts w:asciiTheme="minorEastAsia" w:hAnsiTheme="minorEastAsia" w:eastAsiaTheme="minorEastAsia"/>
          <w:b/>
          <w:szCs w:val="21"/>
        </w:rPr>
        <w:t>服务器：</w:t>
      </w:r>
      <w:r>
        <w:rPr>
          <w:rFonts w:hint="eastAsia" w:asciiTheme="minorEastAsia" w:hAnsiTheme="minorEastAsia" w:eastAsiaTheme="minorEastAsia"/>
          <w:szCs w:val="21"/>
        </w:rPr>
        <w:t>用于虚拟化</w:t>
      </w:r>
      <w:r>
        <w:rPr>
          <w:rFonts w:asciiTheme="minorEastAsia" w:hAnsiTheme="minorEastAsia" w:eastAsiaTheme="minorEastAsia"/>
          <w:szCs w:val="21"/>
        </w:rPr>
        <w:t>平台</w:t>
      </w:r>
      <w:r>
        <w:rPr>
          <w:rFonts w:hint="eastAsia" w:asciiTheme="minorEastAsia" w:hAnsiTheme="minorEastAsia" w:eastAsiaTheme="minorEastAsia"/>
          <w:szCs w:val="21"/>
        </w:rPr>
        <w:t>的管理</w:t>
      </w:r>
      <w:r>
        <w:rPr>
          <w:rFonts w:asciiTheme="minorEastAsia" w:hAnsiTheme="minorEastAsia" w:eastAsiaTheme="minorEastAsia"/>
          <w:szCs w:val="21"/>
        </w:rPr>
        <w:t>，负责对资源池</w:t>
      </w:r>
      <w:r>
        <w:rPr>
          <w:rFonts w:hint="eastAsia" w:asciiTheme="minorEastAsia" w:hAnsiTheme="minorEastAsia" w:eastAsiaTheme="minorEastAsia"/>
          <w:szCs w:val="21"/>
        </w:rPr>
        <w:t>进行</w:t>
      </w:r>
      <w:r>
        <w:rPr>
          <w:rFonts w:asciiTheme="minorEastAsia" w:hAnsiTheme="minorEastAsia" w:eastAsiaTheme="minorEastAsia"/>
          <w:szCs w:val="21"/>
        </w:rPr>
        <w:t>管理、调度和监控。</w:t>
      </w:r>
      <w:r>
        <w:rPr>
          <w:rFonts w:hint="eastAsia" w:asciiTheme="minorEastAsia" w:hAnsiTheme="minorEastAsia" w:eastAsiaTheme="minorEastAsia"/>
          <w:szCs w:val="21"/>
        </w:rPr>
        <w:t>在</w:t>
      </w:r>
      <w:r>
        <w:rPr>
          <w:rFonts w:asciiTheme="minorEastAsia" w:hAnsiTheme="minorEastAsia" w:eastAsiaTheme="minorEastAsia"/>
          <w:szCs w:val="21"/>
        </w:rPr>
        <w:t>本期建设中，</w:t>
      </w:r>
      <w:r>
        <w:rPr>
          <w:rFonts w:hint="eastAsia" w:asciiTheme="minorEastAsia" w:hAnsiTheme="minorEastAsia" w:eastAsiaTheme="minorEastAsia"/>
          <w:szCs w:val="21"/>
        </w:rPr>
        <w:t>采用原有的V</w:t>
      </w:r>
      <w:r>
        <w:rPr>
          <w:rFonts w:asciiTheme="minorEastAsia" w:hAnsiTheme="minorEastAsia" w:eastAsiaTheme="minorEastAsia"/>
          <w:szCs w:val="21"/>
        </w:rPr>
        <w:t>C</w:t>
      </w:r>
      <w:r>
        <w:rPr>
          <w:rFonts w:hint="eastAsia" w:asciiTheme="minorEastAsia" w:hAnsiTheme="minorEastAsia" w:eastAsiaTheme="minorEastAsia"/>
          <w:szCs w:val="21"/>
        </w:rPr>
        <w:t>enter</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虚拟化</w:t>
      </w:r>
      <w:r>
        <w:rPr>
          <w:rFonts w:asciiTheme="minorEastAsia" w:hAnsiTheme="minorEastAsia" w:eastAsiaTheme="minorEastAsia"/>
          <w:b/>
          <w:szCs w:val="21"/>
        </w:rPr>
        <w:t>服务器：</w:t>
      </w:r>
      <w:r>
        <w:rPr>
          <w:rFonts w:hint="eastAsia" w:asciiTheme="minorEastAsia" w:hAnsiTheme="minorEastAsia" w:eastAsiaTheme="minorEastAsia"/>
          <w:szCs w:val="21"/>
        </w:rPr>
        <w:t>该</w:t>
      </w:r>
      <w:r>
        <w:rPr>
          <w:rFonts w:asciiTheme="minorEastAsia" w:hAnsiTheme="minorEastAsia" w:eastAsiaTheme="minorEastAsia"/>
          <w:szCs w:val="21"/>
        </w:rPr>
        <w:t>服务器为若干</w:t>
      </w:r>
      <w:r>
        <w:rPr>
          <w:rFonts w:hint="eastAsia" w:asciiTheme="minorEastAsia" w:hAnsiTheme="minorEastAsia" w:eastAsiaTheme="minorEastAsia"/>
          <w:szCs w:val="21"/>
        </w:rPr>
        <w:t>台</w:t>
      </w:r>
      <w:r>
        <w:rPr>
          <w:rFonts w:asciiTheme="minorEastAsia" w:hAnsiTheme="minorEastAsia" w:eastAsiaTheme="minorEastAsia"/>
          <w:szCs w:val="21"/>
        </w:rPr>
        <w:t>服务器组成的</w:t>
      </w:r>
      <w:r>
        <w:rPr>
          <w:rFonts w:hint="eastAsia" w:asciiTheme="minorEastAsia" w:hAnsiTheme="minorEastAsia" w:eastAsiaTheme="minorEastAsia"/>
          <w:szCs w:val="21"/>
        </w:rPr>
        <w:t>集群，形成</w:t>
      </w:r>
      <w:r>
        <w:rPr>
          <w:rFonts w:asciiTheme="minorEastAsia" w:hAnsiTheme="minorEastAsia" w:eastAsiaTheme="minorEastAsia"/>
          <w:szCs w:val="21"/>
        </w:rPr>
        <w:t>计算资源池。</w:t>
      </w:r>
      <w:r>
        <w:rPr>
          <w:rFonts w:hint="eastAsia" w:asciiTheme="minorEastAsia" w:hAnsiTheme="minorEastAsia" w:eastAsiaTheme="minorEastAsia"/>
          <w:szCs w:val="21"/>
        </w:rPr>
        <w:t>通过</w:t>
      </w:r>
      <w:r>
        <w:rPr>
          <w:rFonts w:asciiTheme="minorEastAsia" w:hAnsiTheme="minorEastAsia" w:eastAsiaTheme="minorEastAsia"/>
          <w:szCs w:val="21"/>
        </w:rPr>
        <w:t>虚拟化软件将</w:t>
      </w:r>
      <w:r>
        <w:rPr>
          <w:rFonts w:hint="eastAsia" w:asciiTheme="minorEastAsia" w:hAnsiTheme="minorEastAsia" w:eastAsiaTheme="minorEastAsia"/>
          <w:szCs w:val="21"/>
        </w:rPr>
        <w:t>物理</w:t>
      </w:r>
      <w:r>
        <w:rPr>
          <w:rFonts w:asciiTheme="minorEastAsia" w:hAnsiTheme="minorEastAsia" w:eastAsiaTheme="minorEastAsia"/>
          <w:szCs w:val="21"/>
        </w:rPr>
        <w:t>服务器安装需求，虚拟出若干</w:t>
      </w:r>
      <w:r>
        <w:rPr>
          <w:rFonts w:hint="eastAsia" w:asciiTheme="minorEastAsia" w:hAnsiTheme="minorEastAsia" w:eastAsiaTheme="minorEastAsia"/>
          <w:szCs w:val="21"/>
        </w:rPr>
        <w:t>台</w:t>
      </w:r>
      <w:r>
        <w:rPr>
          <w:rFonts w:asciiTheme="minorEastAsia" w:hAnsiTheme="minorEastAsia" w:eastAsiaTheme="minorEastAsia"/>
          <w:szCs w:val="21"/>
        </w:rPr>
        <w:t>符合应用需求的应用虚拟机作为业务的应用负载服务器。各</w:t>
      </w:r>
      <w:r>
        <w:rPr>
          <w:rFonts w:hint="eastAsia" w:asciiTheme="minorEastAsia" w:hAnsiTheme="minorEastAsia" w:eastAsiaTheme="minorEastAsia"/>
          <w:szCs w:val="21"/>
        </w:rPr>
        <w:t>虚拟化</w:t>
      </w:r>
      <w:r>
        <w:rPr>
          <w:rFonts w:asciiTheme="minorEastAsia" w:hAnsiTheme="minorEastAsia" w:eastAsiaTheme="minorEastAsia"/>
          <w:szCs w:val="21"/>
        </w:rPr>
        <w:t>资源通过</w:t>
      </w:r>
      <w:r>
        <w:rPr>
          <w:rFonts w:hint="eastAsia" w:asciiTheme="minorEastAsia" w:hAnsiTheme="minorEastAsia" w:eastAsiaTheme="minorEastAsia"/>
          <w:szCs w:val="21"/>
        </w:rPr>
        <w:t>V</w:t>
      </w:r>
      <w:r>
        <w:rPr>
          <w:rFonts w:asciiTheme="minorEastAsia" w:hAnsiTheme="minorEastAsia" w:eastAsiaTheme="minorEastAsia"/>
          <w:szCs w:val="21"/>
        </w:rPr>
        <w:t>C管理平台统一调度、按需分配。如果</w:t>
      </w:r>
      <w:r>
        <w:rPr>
          <w:rFonts w:hint="eastAsia" w:asciiTheme="minorEastAsia" w:hAnsiTheme="minorEastAsia" w:eastAsiaTheme="minorEastAsia"/>
          <w:szCs w:val="21"/>
        </w:rPr>
        <w:t>计算</w:t>
      </w:r>
      <w:r>
        <w:rPr>
          <w:rFonts w:asciiTheme="minorEastAsia" w:hAnsiTheme="minorEastAsia" w:eastAsiaTheme="minorEastAsia"/>
          <w:szCs w:val="21"/>
        </w:rPr>
        <w:t>资源池</w:t>
      </w:r>
      <w:r>
        <w:rPr>
          <w:rFonts w:hint="eastAsia" w:asciiTheme="minorEastAsia" w:hAnsiTheme="minorEastAsia" w:eastAsiaTheme="minorEastAsia"/>
          <w:szCs w:val="21"/>
        </w:rPr>
        <w:t>的</w:t>
      </w:r>
      <w:r>
        <w:rPr>
          <w:rFonts w:asciiTheme="minorEastAsia" w:hAnsiTheme="minorEastAsia" w:eastAsiaTheme="minorEastAsia"/>
          <w:szCs w:val="21"/>
        </w:rPr>
        <w:t>资源</w:t>
      </w:r>
      <w:r>
        <w:rPr>
          <w:rFonts w:hint="eastAsia" w:asciiTheme="minorEastAsia" w:hAnsiTheme="minorEastAsia" w:eastAsiaTheme="minorEastAsia"/>
          <w:szCs w:val="21"/>
        </w:rPr>
        <w:t>不够</w:t>
      </w:r>
      <w:r>
        <w:rPr>
          <w:rFonts w:asciiTheme="minorEastAsia" w:hAnsiTheme="minorEastAsia" w:eastAsiaTheme="minorEastAsia"/>
          <w:szCs w:val="21"/>
        </w:rPr>
        <w:t>使用，可以直接</w:t>
      </w:r>
      <w:r>
        <w:rPr>
          <w:rFonts w:hint="eastAsia" w:asciiTheme="minorEastAsia" w:hAnsiTheme="minorEastAsia" w:eastAsiaTheme="minorEastAsia"/>
          <w:szCs w:val="21"/>
        </w:rPr>
        <w:t>添加</w:t>
      </w:r>
      <w:r>
        <w:rPr>
          <w:rFonts w:asciiTheme="minorEastAsia" w:hAnsiTheme="minorEastAsia" w:eastAsiaTheme="minorEastAsia"/>
          <w:szCs w:val="21"/>
        </w:rPr>
        <w:t>服务器，</w:t>
      </w:r>
      <w:r>
        <w:rPr>
          <w:rFonts w:hint="eastAsia" w:asciiTheme="minorEastAsia" w:hAnsiTheme="minorEastAsia" w:eastAsiaTheme="minorEastAsia"/>
          <w:szCs w:val="21"/>
        </w:rPr>
        <w:t>或者</w:t>
      </w:r>
      <w:r>
        <w:rPr>
          <w:rFonts w:asciiTheme="minorEastAsia" w:hAnsiTheme="minorEastAsia" w:eastAsiaTheme="minorEastAsia"/>
          <w:szCs w:val="21"/>
        </w:rPr>
        <w:t>采用利旧的方式，无缝扩展资源池。</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存储</w:t>
      </w:r>
      <w:r>
        <w:rPr>
          <w:rFonts w:asciiTheme="minorEastAsia" w:hAnsiTheme="minorEastAsia" w:eastAsiaTheme="minorEastAsia"/>
          <w:b/>
          <w:szCs w:val="21"/>
        </w:rPr>
        <w:t>：</w:t>
      </w:r>
      <w:r>
        <w:rPr>
          <w:rFonts w:hint="eastAsia" w:asciiTheme="minorEastAsia" w:hAnsiTheme="minorEastAsia" w:eastAsiaTheme="minorEastAsia"/>
          <w:szCs w:val="21"/>
        </w:rPr>
        <w:t>该存储</w:t>
      </w:r>
      <w:r>
        <w:rPr>
          <w:rFonts w:asciiTheme="minorEastAsia" w:hAnsiTheme="minorEastAsia" w:eastAsiaTheme="minorEastAsia"/>
          <w:szCs w:val="21"/>
        </w:rPr>
        <w:t>的主要</w:t>
      </w:r>
      <w:r>
        <w:rPr>
          <w:rFonts w:hint="eastAsia" w:asciiTheme="minorEastAsia" w:hAnsiTheme="minorEastAsia" w:eastAsiaTheme="minorEastAsia"/>
          <w:szCs w:val="21"/>
        </w:rPr>
        <w:t>用于</w:t>
      </w:r>
      <w:r>
        <w:rPr>
          <w:rFonts w:asciiTheme="minorEastAsia" w:hAnsiTheme="minorEastAsia" w:eastAsiaTheme="minorEastAsia"/>
          <w:szCs w:val="21"/>
        </w:rPr>
        <w:t>虚拟机的数据</w:t>
      </w:r>
      <w:r>
        <w:rPr>
          <w:rFonts w:hint="eastAsia" w:asciiTheme="minorEastAsia" w:hAnsiTheme="minorEastAsia" w:eastAsiaTheme="minorEastAsia"/>
          <w:szCs w:val="21"/>
        </w:rPr>
        <w:t>存储</w:t>
      </w:r>
      <w:r>
        <w:rPr>
          <w:rFonts w:asciiTheme="minorEastAsia" w:hAnsiTheme="minorEastAsia" w:eastAsiaTheme="minorEastAsia"/>
          <w:szCs w:val="21"/>
        </w:rPr>
        <w:t>、业务数据存储等。根据</w:t>
      </w:r>
      <w:r>
        <w:rPr>
          <w:rFonts w:hint="eastAsia" w:asciiTheme="minorEastAsia" w:hAnsiTheme="minorEastAsia" w:eastAsiaTheme="minorEastAsia"/>
          <w:szCs w:val="21"/>
        </w:rPr>
        <w:t>业务</w:t>
      </w:r>
      <w:r>
        <w:rPr>
          <w:rFonts w:asciiTheme="minorEastAsia" w:hAnsiTheme="minorEastAsia" w:eastAsiaTheme="minorEastAsia"/>
          <w:szCs w:val="21"/>
        </w:rPr>
        <w:t>需要</w:t>
      </w:r>
      <w:r>
        <w:rPr>
          <w:rFonts w:hint="eastAsia" w:asciiTheme="minorEastAsia" w:hAnsiTheme="minorEastAsia" w:eastAsiaTheme="minorEastAsia"/>
          <w:szCs w:val="21"/>
        </w:rPr>
        <w:t>在本次资源池扩容</w:t>
      </w:r>
      <w:r>
        <w:rPr>
          <w:rFonts w:asciiTheme="minorEastAsia" w:hAnsiTheme="minorEastAsia" w:eastAsiaTheme="minorEastAsia"/>
          <w:szCs w:val="21"/>
        </w:rPr>
        <w:t>建设中，采用光纤存储进行通信。</w:t>
      </w:r>
      <w:r>
        <w:rPr>
          <w:rFonts w:hint="eastAsia" w:asciiTheme="minorEastAsia" w:hAnsiTheme="minorEastAsia" w:eastAsiaTheme="minorEastAsia"/>
          <w:szCs w:val="21"/>
        </w:rPr>
        <w:t>本期</w:t>
      </w:r>
      <w:r>
        <w:rPr>
          <w:rFonts w:asciiTheme="minorEastAsia" w:hAnsiTheme="minorEastAsia" w:eastAsiaTheme="minorEastAsia"/>
          <w:szCs w:val="21"/>
        </w:rPr>
        <w:t>采用</w:t>
      </w:r>
      <w:r>
        <w:rPr>
          <w:rFonts w:hint="eastAsia" w:asciiTheme="minorEastAsia" w:hAnsiTheme="minorEastAsia" w:eastAsiaTheme="minorEastAsia"/>
          <w:szCs w:val="21"/>
        </w:rPr>
        <w:t>与原有集群的存储保持一致</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光纤</w:t>
      </w:r>
      <w:r>
        <w:rPr>
          <w:rFonts w:asciiTheme="minorEastAsia" w:hAnsiTheme="minorEastAsia" w:eastAsiaTheme="minorEastAsia"/>
          <w:b/>
          <w:szCs w:val="21"/>
        </w:rPr>
        <w:t>交换机：</w:t>
      </w:r>
      <w:r>
        <w:rPr>
          <w:rFonts w:hint="eastAsia" w:asciiTheme="minorEastAsia" w:hAnsiTheme="minorEastAsia" w:eastAsiaTheme="minorEastAsia"/>
          <w:szCs w:val="21"/>
        </w:rPr>
        <w:t>光纤交换机</w:t>
      </w:r>
      <w:r>
        <w:rPr>
          <w:rFonts w:asciiTheme="minorEastAsia" w:hAnsiTheme="minorEastAsia" w:eastAsiaTheme="minorEastAsia"/>
          <w:szCs w:val="21"/>
        </w:rPr>
        <w:t>为</w:t>
      </w:r>
      <w:r>
        <w:rPr>
          <w:rFonts w:hint="eastAsia" w:asciiTheme="minorEastAsia" w:hAnsiTheme="minorEastAsia" w:eastAsiaTheme="minorEastAsia"/>
          <w:szCs w:val="21"/>
        </w:rPr>
        <w:t>服务器</w:t>
      </w:r>
      <w:r>
        <w:rPr>
          <w:rFonts w:asciiTheme="minorEastAsia" w:hAnsiTheme="minorEastAsia" w:eastAsiaTheme="minorEastAsia"/>
          <w:szCs w:val="21"/>
        </w:rPr>
        <w:t>与存储</w:t>
      </w:r>
      <w:r>
        <w:rPr>
          <w:rFonts w:hint="eastAsia" w:asciiTheme="minorEastAsia" w:hAnsiTheme="minorEastAsia" w:eastAsiaTheme="minorEastAsia"/>
          <w:szCs w:val="21"/>
        </w:rPr>
        <w:t>间</w:t>
      </w:r>
      <w:r>
        <w:rPr>
          <w:rFonts w:asciiTheme="minorEastAsia" w:hAnsiTheme="minorEastAsia" w:eastAsiaTheme="minorEastAsia"/>
          <w:szCs w:val="21"/>
        </w:rPr>
        <w:t>的</w:t>
      </w:r>
      <w:r>
        <w:rPr>
          <w:rFonts w:hint="eastAsia" w:asciiTheme="minorEastAsia" w:hAnsiTheme="minorEastAsia" w:eastAsiaTheme="minorEastAsia"/>
          <w:szCs w:val="21"/>
        </w:rPr>
        <w:t>通信</w:t>
      </w:r>
      <w:r>
        <w:rPr>
          <w:rFonts w:asciiTheme="minorEastAsia" w:hAnsiTheme="minorEastAsia" w:eastAsiaTheme="minorEastAsia"/>
          <w:szCs w:val="21"/>
        </w:rPr>
        <w:t>交换机，</w:t>
      </w:r>
      <w:r>
        <w:rPr>
          <w:rFonts w:hint="eastAsia" w:asciiTheme="minorEastAsia" w:hAnsiTheme="minorEastAsia" w:eastAsiaTheme="minorEastAsia"/>
          <w:szCs w:val="21"/>
        </w:rPr>
        <w:t>本次采用现有环境的设备</w:t>
      </w:r>
      <w:r>
        <w:rPr>
          <w:rFonts w:asciiTheme="minorEastAsia" w:hAnsiTheme="minorEastAsia" w:eastAsiaTheme="minorEastAsia"/>
          <w:szCs w:val="21"/>
        </w:rPr>
        <w:t>。</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接入</w:t>
      </w:r>
      <w:r>
        <w:rPr>
          <w:rFonts w:asciiTheme="minorEastAsia" w:hAnsiTheme="minorEastAsia" w:eastAsiaTheme="minorEastAsia"/>
          <w:b/>
          <w:szCs w:val="21"/>
        </w:rPr>
        <w:t>交换机</w:t>
      </w:r>
      <w:r>
        <w:rPr>
          <w:rFonts w:asciiTheme="minorEastAsia" w:hAnsiTheme="minorEastAsia" w:eastAsiaTheme="minorEastAsia"/>
          <w:szCs w:val="21"/>
        </w:rPr>
        <w:t>：</w:t>
      </w:r>
      <w:r>
        <w:rPr>
          <w:rFonts w:hint="eastAsia" w:asciiTheme="minorEastAsia" w:hAnsiTheme="minorEastAsia" w:eastAsiaTheme="minorEastAsia"/>
          <w:szCs w:val="21"/>
        </w:rPr>
        <w:t>根据现有</w:t>
      </w:r>
      <w:r>
        <w:rPr>
          <w:rFonts w:asciiTheme="minorEastAsia" w:hAnsiTheme="minorEastAsia" w:eastAsiaTheme="minorEastAsia"/>
          <w:szCs w:val="21"/>
        </w:rPr>
        <w:t>的网络环境和需求，</w:t>
      </w:r>
      <w:r>
        <w:rPr>
          <w:rFonts w:hint="eastAsia" w:asciiTheme="minorEastAsia" w:hAnsiTheme="minorEastAsia" w:eastAsiaTheme="minorEastAsia"/>
          <w:szCs w:val="21"/>
        </w:rPr>
        <w:t>以当前的主备的</w:t>
      </w:r>
      <w:r>
        <w:rPr>
          <w:rFonts w:asciiTheme="minorEastAsia" w:hAnsiTheme="minorEastAsia" w:eastAsiaTheme="minorEastAsia"/>
          <w:szCs w:val="21"/>
        </w:rPr>
        <w:t>方式</w:t>
      </w:r>
      <w:r>
        <w:rPr>
          <w:rFonts w:hint="eastAsia" w:asciiTheme="minorEastAsia" w:hAnsiTheme="minorEastAsia" w:eastAsiaTheme="minorEastAsia"/>
          <w:szCs w:val="21"/>
        </w:rPr>
        <w:t>接入</w:t>
      </w:r>
      <w:r>
        <w:rPr>
          <w:rFonts w:asciiTheme="minorEastAsia" w:hAnsiTheme="minorEastAsia" w:eastAsiaTheme="minorEastAsia"/>
          <w:szCs w:val="21"/>
        </w:rPr>
        <w:t>，保障网络安全。</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防火墙</w:t>
      </w:r>
      <w:r>
        <w:rPr>
          <w:rFonts w:asciiTheme="minorEastAsia" w:hAnsiTheme="minorEastAsia" w:eastAsiaTheme="minorEastAsia"/>
          <w:szCs w:val="21"/>
        </w:rPr>
        <w:t>：</w:t>
      </w:r>
      <w:r>
        <w:rPr>
          <w:rFonts w:hint="eastAsia" w:asciiTheme="minorEastAsia" w:hAnsiTheme="minorEastAsia" w:eastAsiaTheme="minorEastAsia"/>
          <w:szCs w:val="21"/>
        </w:rPr>
        <w:t>接入</w:t>
      </w:r>
      <w:r>
        <w:rPr>
          <w:rFonts w:asciiTheme="minorEastAsia" w:hAnsiTheme="minorEastAsia" w:eastAsiaTheme="minorEastAsia"/>
          <w:szCs w:val="21"/>
        </w:rPr>
        <w:t>交换机</w:t>
      </w:r>
      <w:r>
        <w:rPr>
          <w:rFonts w:hint="eastAsia" w:asciiTheme="minorEastAsia" w:hAnsiTheme="minorEastAsia" w:eastAsiaTheme="minorEastAsia"/>
          <w:szCs w:val="21"/>
        </w:rPr>
        <w:t>数据经过</w:t>
      </w:r>
      <w:r>
        <w:rPr>
          <w:rFonts w:asciiTheme="minorEastAsia" w:hAnsiTheme="minorEastAsia" w:eastAsiaTheme="minorEastAsia"/>
          <w:szCs w:val="21"/>
        </w:rPr>
        <w:t>防火墙上联到核心交换机，接入</w:t>
      </w:r>
      <w:r>
        <w:rPr>
          <w:rFonts w:hint="eastAsia" w:asciiTheme="minorEastAsia" w:hAnsiTheme="minorEastAsia" w:eastAsiaTheme="minorEastAsia"/>
          <w:szCs w:val="21"/>
        </w:rPr>
        <w:t xml:space="preserve">   </w:t>
      </w:r>
      <w:r>
        <w:rPr>
          <w:rFonts w:asciiTheme="minorEastAsia" w:hAnsiTheme="minorEastAsia" w:eastAsiaTheme="minorEastAsia"/>
          <w:szCs w:val="21"/>
        </w:rPr>
        <w:t>核心网络。</w:t>
      </w:r>
    </w:p>
    <w:p>
      <w:p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15"/>
    <w:bookmarkEnd w:id="16"/>
    <w:bookmarkEnd w:id="17"/>
    <w:bookmarkEnd w:id="40"/>
    <w:bookmarkEnd w:id="41"/>
    <w:bookmarkEnd w:id="42"/>
    <w:bookmarkEnd w:id="43"/>
    <w:bookmarkEnd w:id="44"/>
    <w:p>
      <w:pPr>
        <w:autoSpaceDE w:val="0"/>
        <w:autoSpaceDN w:val="0"/>
        <w:spacing w:line="240" w:lineRule="atLeast"/>
        <w:jc w:val="center"/>
        <w:outlineLvl w:val="0"/>
        <w:rPr>
          <w:rFonts w:eastAsia="黑体"/>
          <w:b/>
          <w:bCs/>
          <w:kern w:val="44"/>
          <w:sz w:val="36"/>
          <w:szCs w:val="36"/>
        </w:rPr>
      </w:pPr>
      <w:bookmarkStart w:id="46" w:name="_Toc69378657"/>
      <w:bookmarkStart w:id="47" w:name="_Toc502914229"/>
      <w:r>
        <w:rPr>
          <w:rFonts w:hint="eastAsia" w:eastAsia="黑体"/>
          <w:b/>
          <w:bCs/>
          <w:kern w:val="44"/>
          <w:sz w:val="36"/>
          <w:szCs w:val="36"/>
        </w:rPr>
        <w:t>第六章 竞争性磋商响应文件格式</w:t>
      </w:r>
      <w:bookmarkEnd w:id="46"/>
    </w:p>
    <w:p/>
    <w:p/>
    <w:p/>
    <w:p/>
    <w:p/>
    <w:p/>
    <w:p/>
    <w:p>
      <w:pPr>
        <w:jc w:val="center"/>
        <w:rPr>
          <w:rFonts w:ascii="宋体" w:hAnsi="宋体"/>
          <w:sz w:val="44"/>
          <w:szCs w:val="44"/>
        </w:rPr>
      </w:pPr>
      <w:bookmarkStart w:id="48" w:name="_Toc26259736"/>
      <w:r>
        <w:rPr>
          <w:rFonts w:hint="eastAsia" w:ascii="宋体" w:hAnsi="宋体"/>
          <w:sz w:val="44"/>
          <w:szCs w:val="44"/>
        </w:rPr>
        <w:t>江苏省广电有线信息网络股份有限公司</w:t>
      </w:r>
    </w:p>
    <w:bookmarkEnd w:id="48"/>
    <w:p>
      <w:pPr>
        <w:jc w:val="center"/>
        <w:rPr>
          <w:rFonts w:ascii="宋体" w:hAnsi="宋体"/>
          <w:sz w:val="44"/>
          <w:szCs w:val="44"/>
        </w:rPr>
      </w:pPr>
      <w:bookmarkStart w:id="49" w:name="_Hlk104814968"/>
      <w:r>
        <w:rPr>
          <w:rFonts w:hint="eastAsia" w:ascii="宋体" w:hAnsi="宋体"/>
          <w:sz w:val="44"/>
          <w:szCs w:val="44"/>
        </w:rPr>
        <w:t>企业信息化虚拟平台扩容项目</w:t>
      </w:r>
    </w:p>
    <w:bookmarkEnd w:id="49"/>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50" w:name="_Toc529538374"/>
      <w:bookmarkStart w:id="51" w:name="_Toc69378658"/>
      <w:bookmarkStart w:id="52" w:name="_Toc472689687"/>
      <w:bookmarkStart w:id="53" w:name="_Toc26260030"/>
      <w:bookmarkStart w:id="54" w:name="_Toc26259737"/>
      <w:bookmarkStart w:id="55" w:name="_Toc447265603"/>
      <w:bookmarkStart w:id="56" w:name="_Toc447265317"/>
      <w:bookmarkStart w:id="57" w:name="_Toc438052118"/>
      <w:r>
        <w:rPr>
          <w:rFonts w:hint="eastAsia"/>
        </w:rPr>
        <w:t>评审索引表</w:t>
      </w:r>
      <w:bookmarkEnd w:id="50"/>
      <w:bookmarkEnd w:id="51"/>
      <w:bookmarkEnd w:id="52"/>
      <w:bookmarkEnd w:id="53"/>
      <w:bookmarkEnd w:id="54"/>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15"/>
        <w:rPr>
          <w:rFonts w:ascii="宋体" w:hAnsi="宋体" w:eastAsia="宋体"/>
          <w:b/>
          <w:sz w:val="24"/>
        </w:rPr>
      </w:pPr>
      <w:bookmarkStart w:id="58" w:name="_Toc427071030"/>
      <w:bookmarkStart w:id="59" w:name="_Toc401133270"/>
      <w:bookmarkStart w:id="60" w:name="_Toc26260031"/>
      <w:bookmarkStart w:id="61" w:name="_Toc26259738"/>
      <w:bookmarkStart w:id="62" w:name="_Toc485737092"/>
      <w:bookmarkStart w:id="63" w:name="_Toc401151285"/>
      <w:bookmarkStart w:id="64" w:name="_Toc429954241"/>
      <w:bookmarkStart w:id="65" w:name="_Toc401216443"/>
      <w:bookmarkStart w:id="66" w:name="_Toc529538375"/>
    </w:p>
    <w:p>
      <w:pPr>
        <w:pStyle w:val="5"/>
        <w:spacing w:before="260" w:after="260" w:line="416" w:lineRule="auto"/>
        <w:jc w:val="center"/>
        <w:rPr>
          <w:rFonts w:ascii="宋体" w:hAnsi="宋体" w:eastAsia="宋体"/>
          <w:b/>
          <w:bCs/>
          <w:sz w:val="22"/>
          <w:szCs w:val="28"/>
        </w:rPr>
      </w:pPr>
      <w:bookmarkStart w:id="67" w:name="_Toc69378659"/>
      <w:r>
        <w:rPr>
          <w:rFonts w:hint="eastAsia" w:ascii="宋体" w:hAnsi="宋体" w:eastAsia="宋体"/>
          <w:b/>
          <w:bCs/>
          <w:sz w:val="22"/>
          <w:szCs w:val="28"/>
        </w:rPr>
        <w:t>初步</w:t>
      </w:r>
      <w:r>
        <w:rPr>
          <w:rFonts w:ascii="宋体" w:hAnsi="宋体" w:eastAsia="宋体"/>
          <w:b/>
          <w:bCs/>
          <w:sz w:val="22"/>
          <w:szCs w:val="28"/>
        </w:rPr>
        <w:t>评审索引表</w:t>
      </w:r>
      <w:bookmarkEnd w:id="58"/>
      <w:bookmarkEnd w:id="59"/>
      <w:bookmarkEnd w:id="60"/>
      <w:bookmarkEnd w:id="61"/>
      <w:bookmarkEnd w:id="62"/>
      <w:bookmarkEnd w:id="63"/>
      <w:bookmarkEnd w:id="64"/>
      <w:bookmarkEnd w:id="65"/>
      <w:bookmarkEnd w:id="66"/>
      <w:bookmarkEnd w:id="67"/>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8" w:name="_Toc69378660"/>
      <w:bookmarkStart w:id="69" w:name="_Toc26260032"/>
      <w:bookmarkStart w:id="70" w:name="_Toc26259739"/>
      <w:r>
        <w:rPr>
          <w:rFonts w:hint="eastAsia" w:ascii="宋体" w:hAnsi="宋体" w:eastAsia="宋体"/>
          <w:b/>
          <w:bCs/>
          <w:sz w:val="22"/>
          <w:szCs w:val="28"/>
        </w:rPr>
        <w:t>详细</w:t>
      </w:r>
      <w:r>
        <w:rPr>
          <w:rFonts w:ascii="宋体" w:hAnsi="宋体" w:eastAsia="宋体"/>
          <w:b/>
          <w:bCs/>
          <w:sz w:val="22"/>
          <w:szCs w:val="28"/>
        </w:rPr>
        <w:t>评审索引表</w:t>
      </w:r>
      <w:bookmarkEnd w:id="68"/>
      <w:bookmarkEnd w:id="69"/>
      <w:bookmarkEnd w:id="70"/>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15"/>
      </w:pPr>
    </w:p>
    <w:bookmarkEnd w:id="55"/>
    <w:bookmarkEnd w:id="56"/>
    <w:bookmarkEnd w:id="57"/>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1" w:name="_Toc135999006"/>
      <w:bookmarkStart w:id="72" w:name="_Toc161767428"/>
      <w:bookmarkStart w:id="73" w:name="_Toc26260033"/>
      <w:bookmarkStart w:id="74" w:name="_Toc69378663"/>
      <w:bookmarkStart w:id="75" w:name="_Toc529538377"/>
      <w:bookmarkStart w:id="76" w:name="_Toc472689688"/>
      <w:bookmarkStart w:id="77"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1"/>
      <w:bookmarkEnd w:id="72"/>
      <w:r>
        <w:rPr>
          <w:rStyle w:val="106"/>
          <w:rFonts w:hint="eastAsia" w:hAnsi="宋体"/>
          <w:b w:val="0"/>
          <w:bCs w:val="0"/>
          <w:sz w:val="24"/>
          <w:szCs w:val="24"/>
        </w:rPr>
        <w:t>响应函</w:t>
      </w:r>
      <w:bookmarkEnd w:id="73"/>
      <w:bookmarkEnd w:id="74"/>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[4]</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）我方</w:t>
      </w:r>
      <w:r>
        <w:rPr>
          <w:rFonts w:hint="eastAsia" w:ascii="宋体" w:hAnsi="宋体" w:cs="宋体"/>
          <w:kern w:val="0"/>
          <w:sz w:val="24"/>
          <w:szCs w:val="22"/>
        </w:rPr>
        <w:t>具备完整的售后服务体系、具有快速响应维护能力，</w:t>
      </w:r>
      <w:r>
        <w:rPr>
          <w:rFonts w:hint="eastAsia" w:ascii="宋体" w:hAnsi="宋体"/>
          <w:sz w:val="24"/>
        </w:rPr>
        <w:t>具有较大规模的销售和售后服务的组织机构及完善快捷的技术支持能力，</w:t>
      </w:r>
      <w:r>
        <w:rPr>
          <w:rFonts w:hint="eastAsia" w:ascii="宋体" w:hAnsi="宋体" w:cs="宋体"/>
          <w:kern w:val="0"/>
          <w:sz w:val="24"/>
          <w:szCs w:val="22"/>
        </w:rPr>
        <w:t>拥有固定可靠的有效服务网点，</w:t>
      </w:r>
      <w:r>
        <w:rPr>
          <w:rFonts w:hint="eastAsia" w:ascii="宋体" w:hAnsi="宋体"/>
          <w:sz w:val="24"/>
        </w:rPr>
        <w:t>承诺中选后3</w:t>
      </w:r>
      <w:r>
        <w:rPr>
          <w:rFonts w:ascii="宋体" w:hAnsi="宋体"/>
          <w:sz w:val="24"/>
        </w:rPr>
        <w:t>0</w:t>
      </w:r>
      <w:r>
        <w:rPr>
          <w:rFonts w:hint="eastAsia" w:ascii="宋体" w:hAnsi="宋体"/>
          <w:sz w:val="24"/>
        </w:rPr>
        <w:t>天内在江苏</w:t>
      </w:r>
      <w:r>
        <w:rPr>
          <w:rFonts w:hint="eastAsia" w:ascii="宋体" w:hAnsi="宋体" w:cs="宋体"/>
          <w:kern w:val="0"/>
          <w:sz w:val="24"/>
          <w:szCs w:val="22"/>
        </w:rPr>
        <w:t>设立售后服务机构（根据实际情况）</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8" w:name="_Toc26260034"/>
      <w:bookmarkStart w:id="79" w:name="_Toc26259740"/>
      <w:bookmarkStart w:id="80" w:name="_Toc6937866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8"/>
      <w:bookmarkEnd w:id="79"/>
      <w:bookmarkEnd w:id="80"/>
    </w:p>
    <w:p>
      <w:pPr>
        <w:spacing w:line="360" w:lineRule="auto"/>
        <w:rPr>
          <w:rFonts w:ascii="宋体" w:hAnsi="宋体"/>
          <w:sz w:val="24"/>
        </w:rPr>
      </w:pPr>
      <w:r>
        <w:t>项目名称：</w:t>
      </w:r>
      <w:r>
        <w:rPr>
          <w:rFonts w:hint="eastAsia" w:ascii="宋体" w:hAnsi="宋体"/>
          <w:sz w:val="24"/>
        </w:rPr>
        <w:t>企业信息化虚拟平台扩容项目</w:t>
      </w:r>
    </w:p>
    <w:p>
      <w:pPr>
        <w:spacing w:line="360" w:lineRule="auto"/>
      </w:pP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985"/>
        <w:gridCol w:w="1559"/>
        <w:gridCol w:w="25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405" w:type="dxa"/>
            <w:vAlign w:val="center"/>
          </w:tcPr>
          <w:p>
            <w:pPr>
              <w:jc w:val="center"/>
              <w:rPr>
                <w:rFonts w:ascii="宋体" w:hAnsi="宋体" w:cs="宋体"/>
                <w:b/>
                <w:szCs w:val="21"/>
              </w:rPr>
            </w:pPr>
            <w:r>
              <w:rPr>
                <w:rFonts w:hint="eastAsia" w:ascii="宋体" w:hAnsi="宋体" w:cs="宋体"/>
                <w:b/>
                <w:szCs w:val="21"/>
              </w:rPr>
              <w:t>产品名称</w:t>
            </w:r>
          </w:p>
        </w:tc>
        <w:tc>
          <w:tcPr>
            <w:tcW w:w="1985" w:type="dxa"/>
            <w:vAlign w:val="center"/>
          </w:tcPr>
          <w:p>
            <w:pPr>
              <w:jc w:val="center"/>
              <w:rPr>
                <w:rFonts w:ascii="宋体" w:hAnsi="宋体" w:cs="宋体"/>
                <w:b/>
                <w:szCs w:val="21"/>
              </w:rPr>
            </w:pPr>
            <w:r>
              <w:rPr>
                <w:rFonts w:hint="eastAsia" w:ascii="宋体" w:hAnsi="宋体" w:cs="宋体"/>
                <w:b/>
                <w:szCs w:val="21"/>
              </w:rPr>
              <w:t>数量</w:t>
            </w:r>
          </w:p>
        </w:tc>
        <w:tc>
          <w:tcPr>
            <w:tcW w:w="1559" w:type="dxa"/>
            <w:vAlign w:val="center"/>
          </w:tcPr>
          <w:p>
            <w:pPr>
              <w:jc w:val="center"/>
              <w:rPr>
                <w:rFonts w:ascii="宋体" w:hAnsi="宋体" w:cs="宋体"/>
                <w:b/>
                <w:szCs w:val="21"/>
              </w:rPr>
            </w:pPr>
            <w:r>
              <w:rPr>
                <w:rFonts w:hint="eastAsia" w:ascii="宋体" w:hAnsi="宋体" w:cs="宋体"/>
                <w:b/>
                <w:szCs w:val="21"/>
              </w:rPr>
              <w:t>税率</w:t>
            </w:r>
          </w:p>
        </w:tc>
        <w:tc>
          <w:tcPr>
            <w:tcW w:w="2551" w:type="dxa"/>
            <w:vAlign w:val="center"/>
          </w:tcPr>
          <w:p>
            <w:pPr>
              <w:jc w:val="center"/>
              <w:rPr>
                <w:rFonts w:ascii="宋体" w:hAnsi="宋体" w:cs="宋体"/>
                <w:b/>
                <w:szCs w:val="21"/>
              </w:rPr>
            </w:pPr>
            <w:r>
              <w:rPr>
                <w:rFonts w:hint="eastAsia" w:ascii="宋体" w:hAnsi="宋体" w:cs="宋体"/>
                <w:b/>
                <w:szCs w:val="21"/>
              </w:rPr>
              <w:t>含税单价（元）</w:t>
            </w:r>
          </w:p>
        </w:tc>
        <w:tc>
          <w:tcPr>
            <w:tcW w:w="1985" w:type="dxa"/>
            <w:vAlign w:val="center"/>
          </w:tcPr>
          <w:p>
            <w:pPr>
              <w:jc w:val="center"/>
              <w:rPr>
                <w:rFonts w:ascii="宋体" w:hAnsi="宋体" w:cs="宋体"/>
                <w:b/>
                <w:szCs w:val="21"/>
              </w:rPr>
            </w:pPr>
            <w:r>
              <w:rPr>
                <w:rFonts w:hint="eastAsia" w:ascii="宋体" w:hAnsi="宋体" w:cs="宋体"/>
                <w:b/>
                <w:szCs w:val="21"/>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pPr>
              <w:spacing w:before="120"/>
              <w:jc w:val="center"/>
              <w:rPr>
                <w:rFonts w:ascii="宋体" w:hAnsi="宋体" w:cs="宋体"/>
                <w:kern w:val="0"/>
                <w:szCs w:val="21"/>
              </w:rPr>
            </w:pPr>
            <w:r>
              <w:rPr>
                <w:rFonts w:hint="eastAsia"/>
              </w:rPr>
              <w:t>Vmware vSphere</w:t>
            </w:r>
            <w:r>
              <w:t xml:space="preserve"> </w:t>
            </w:r>
            <w:r>
              <w:rPr>
                <w:rFonts w:hint="eastAsia"/>
              </w:rPr>
              <w:t>C</w:t>
            </w:r>
            <w:r>
              <w:t>PU</w:t>
            </w:r>
            <w:r>
              <w:rPr>
                <w:rFonts w:hint="eastAsia"/>
              </w:rPr>
              <w:t>授权</w:t>
            </w:r>
          </w:p>
        </w:tc>
        <w:tc>
          <w:tcPr>
            <w:tcW w:w="1985" w:type="dxa"/>
            <w:vAlign w:val="center"/>
          </w:tcPr>
          <w:p>
            <w:pPr>
              <w:jc w:val="center"/>
              <w:rPr>
                <w:sz w:val="18"/>
                <w:szCs w:val="18"/>
              </w:rPr>
            </w:pPr>
            <w:r>
              <w:t>13</w:t>
            </w:r>
            <w:r>
              <w:rPr>
                <w:rFonts w:hint="eastAsia"/>
              </w:rPr>
              <w:t>个CPU</w:t>
            </w:r>
          </w:p>
        </w:tc>
        <w:tc>
          <w:tcPr>
            <w:tcW w:w="1559" w:type="dxa"/>
            <w:vAlign w:val="center"/>
          </w:tcPr>
          <w:p>
            <w:pPr>
              <w:jc w:val="center"/>
            </w:pPr>
          </w:p>
        </w:tc>
        <w:tc>
          <w:tcPr>
            <w:tcW w:w="2551"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pPr>
              <w:spacing w:before="120"/>
              <w:jc w:val="center"/>
              <w:rPr>
                <w:rFonts w:ascii="宋体" w:hAnsi="宋体" w:cs="宋体"/>
                <w:kern w:val="0"/>
                <w:szCs w:val="21"/>
              </w:rPr>
            </w:pPr>
            <w:r>
              <w:rPr>
                <w:rFonts w:hint="eastAsia"/>
              </w:rPr>
              <w:t>1年技术支持服务</w:t>
            </w:r>
          </w:p>
        </w:tc>
        <w:tc>
          <w:tcPr>
            <w:tcW w:w="1985" w:type="dxa"/>
            <w:vAlign w:val="center"/>
          </w:tcPr>
          <w:p>
            <w:pPr>
              <w:jc w:val="center"/>
              <w:rPr>
                <w:sz w:val="18"/>
                <w:szCs w:val="18"/>
              </w:rPr>
            </w:pPr>
            <w:r>
              <w:rPr>
                <w:rFonts w:hint="eastAsia"/>
              </w:rPr>
              <w:t>2</w:t>
            </w:r>
            <w:r>
              <w:t>2</w:t>
            </w:r>
            <w:r>
              <w:rPr>
                <w:rFonts w:hint="eastAsia"/>
              </w:rPr>
              <w:t>0个CPU</w:t>
            </w:r>
          </w:p>
        </w:tc>
        <w:tc>
          <w:tcPr>
            <w:tcW w:w="1559" w:type="dxa"/>
            <w:vAlign w:val="center"/>
          </w:tcPr>
          <w:p>
            <w:pPr>
              <w:jc w:val="center"/>
            </w:pPr>
          </w:p>
        </w:tc>
        <w:tc>
          <w:tcPr>
            <w:tcW w:w="2551" w:type="dxa"/>
            <w:vAlign w:val="center"/>
          </w:tcPr>
          <w:p>
            <w:pPr>
              <w:jc w:val="center"/>
              <w:rPr>
                <w:rFonts w:ascii="宋体" w:hAnsi="宋体" w:cs="宋体"/>
                <w:szCs w:val="21"/>
              </w:rPr>
            </w:pPr>
          </w:p>
        </w:tc>
        <w:tc>
          <w:tcPr>
            <w:tcW w:w="19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pPr>
              <w:spacing w:line="360" w:lineRule="auto"/>
              <w:jc w:val="center"/>
              <w:rPr>
                <w:rFonts w:ascii="宋体" w:hAnsi="宋体" w:cs="宋体"/>
              </w:rPr>
            </w:pPr>
            <w:r>
              <w:rPr>
                <w:rFonts w:hint="eastAsia" w:ascii="宋体" w:hAnsi="宋体" w:cs="宋体"/>
              </w:rPr>
              <w:t>交货期</w:t>
            </w:r>
          </w:p>
        </w:tc>
        <w:tc>
          <w:tcPr>
            <w:tcW w:w="8080" w:type="dxa"/>
            <w:gridSpan w:val="4"/>
            <w:vAlign w:val="center"/>
          </w:tcPr>
          <w:p>
            <w:pPr>
              <w:spacing w:line="360" w:lineRule="auto"/>
              <w:rPr>
                <w:rFonts w:ascii="宋体" w:hAnsi="宋体"/>
                <w:szCs w:val="21"/>
              </w:rPr>
            </w:pPr>
            <w:bookmarkStart w:id="81"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5" w:type="dxa"/>
            <w:vAlign w:val="center"/>
          </w:tcPr>
          <w:p>
            <w:pPr>
              <w:spacing w:line="360" w:lineRule="auto"/>
              <w:jc w:val="center"/>
              <w:rPr>
                <w:rFonts w:ascii="宋体" w:hAnsi="宋体" w:cs="宋体"/>
              </w:rPr>
            </w:pPr>
            <w:r>
              <w:rPr>
                <w:rFonts w:hint="eastAsia" w:ascii="宋体" w:hAnsi="宋体" w:cs="宋体"/>
              </w:rPr>
              <w:t>交货地点</w:t>
            </w:r>
          </w:p>
        </w:tc>
        <w:tc>
          <w:tcPr>
            <w:tcW w:w="8080" w:type="dxa"/>
            <w:gridSpan w:val="4"/>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05" w:type="dxa"/>
            <w:vAlign w:val="center"/>
          </w:tcPr>
          <w:p>
            <w:pPr>
              <w:jc w:val="center"/>
              <w:rPr>
                <w:rFonts w:ascii="宋体" w:hAnsi="宋体" w:cs="宋体"/>
              </w:rPr>
            </w:pPr>
            <w:r>
              <w:rPr>
                <w:rFonts w:hint="eastAsia" w:ascii="宋体" w:hAnsi="宋体" w:cs="宋体"/>
              </w:rPr>
              <w:t>备注</w:t>
            </w:r>
          </w:p>
        </w:tc>
        <w:tc>
          <w:tcPr>
            <w:tcW w:w="8080"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82" w:name="_Toc26259742"/>
      <w:bookmarkStart w:id="83" w:name="_Toc26260036"/>
      <w:bookmarkStart w:id="84" w:name="_Toc135999010"/>
      <w:bookmarkStart w:id="85" w:name="_Toc161767431"/>
      <w:bookmarkStart w:id="86" w:name="_Toc69378666"/>
      <w:bookmarkStart w:id="87" w:name="_Toc69378665"/>
      <w:bookmarkStart w:id="88" w:name="_Toc26260035"/>
      <w:bookmarkStart w:id="89" w:name="_Toc26259741"/>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2"/>
      <w:bookmarkEnd w:id="83"/>
      <w:bookmarkEnd w:id="84"/>
      <w:bookmarkEnd w:id="85"/>
      <w:bookmarkEnd w:id="86"/>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项目名称：企业信息化虚拟平台扩容项目</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 </w:t>
      </w:r>
      <w:r>
        <w:rPr>
          <w:rFonts w:ascii="宋体" w:hAnsi="宋体"/>
          <w:szCs w:val="21"/>
        </w:rPr>
        <w:t xml:space="preserve">          </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7"/>
      <w:bookmarkEnd w:id="88"/>
      <w:bookmarkEnd w:id="89"/>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0" w:name="_Toc26259743"/>
      <w:bookmarkStart w:id="91" w:name="_Toc26260037"/>
      <w:bookmarkStart w:id="92"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90"/>
      <w:bookmarkEnd w:id="91"/>
      <w:bookmarkEnd w:id="92"/>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项目名称：企业信息化虚拟平台扩容项目</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3" w:name="_Toc26259744"/>
      <w:bookmarkStart w:id="94" w:name="_Toc69378668"/>
      <w:bookmarkStart w:id="95" w:name="_Toc135999012"/>
      <w:bookmarkStart w:id="96" w:name="_Toc161767433"/>
      <w:bookmarkStart w:id="97" w:name="_Toc2626003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3"/>
      <w:bookmarkEnd w:id="94"/>
      <w:bookmarkEnd w:id="95"/>
      <w:bookmarkEnd w:id="96"/>
      <w:bookmarkEnd w:id="97"/>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9"/>
        </w:numPr>
        <w:spacing w:line="360" w:lineRule="auto"/>
        <w:rPr>
          <w:rFonts w:ascii="宋体"/>
          <w:szCs w:val="21"/>
        </w:rPr>
      </w:pPr>
      <w:r>
        <w:rPr>
          <w:rFonts w:hint="eastAsia" w:ascii="宋体"/>
          <w:szCs w:val="21"/>
        </w:rPr>
        <w:t>供应商应填写和提交下述规定的全部格式以及其它有关资料。</w:t>
      </w:r>
    </w:p>
    <w:p>
      <w:pPr>
        <w:numPr>
          <w:ilvl w:val="0"/>
          <w:numId w:val="19"/>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9"/>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9"/>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9"/>
        </w:numPr>
        <w:spacing w:line="360" w:lineRule="auto"/>
        <w:rPr>
          <w:rFonts w:ascii="宋体"/>
          <w:szCs w:val="21"/>
        </w:rPr>
      </w:pPr>
      <w:r>
        <w:rPr>
          <w:rFonts w:hint="eastAsia" w:ascii="宋体"/>
          <w:szCs w:val="21"/>
        </w:rPr>
        <w:t>供应商提交的材料将被保密，但不退还。</w:t>
      </w:r>
    </w:p>
    <w:p>
      <w:pPr>
        <w:numPr>
          <w:ilvl w:val="0"/>
          <w:numId w:val="19"/>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0"/>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0"/>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0"/>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1"/>
        </w:numPr>
        <w:spacing w:line="360" w:lineRule="auto"/>
        <w:rPr>
          <w:rFonts w:ascii="宋体" w:hAnsi="宋体"/>
          <w:szCs w:val="21"/>
          <w:u w:val="single"/>
        </w:rPr>
      </w:pPr>
      <w:r>
        <w:rPr>
          <w:rFonts w:hint="eastAsia" w:ascii="宋体" w:hAnsi="宋体"/>
          <w:szCs w:val="21"/>
        </w:rPr>
        <w:t>供应商名称：</w:t>
      </w:r>
    </w:p>
    <w:p>
      <w:pPr>
        <w:numPr>
          <w:ilvl w:val="0"/>
          <w:numId w:val="21"/>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1"/>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1"/>
        </w:numPr>
        <w:spacing w:line="360" w:lineRule="auto"/>
        <w:rPr>
          <w:rFonts w:ascii="宋体" w:hAnsi="宋体"/>
          <w:szCs w:val="21"/>
        </w:rPr>
      </w:pPr>
      <w:r>
        <w:rPr>
          <w:rFonts w:hint="eastAsia" w:ascii="宋体" w:hAnsi="宋体"/>
          <w:szCs w:val="21"/>
        </w:rPr>
        <w:t>实收资本：</w:t>
      </w:r>
    </w:p>
    <w:p>
      <w:pPr>
        <w:numPr>
          <w:ilvl w:val="0"/>
          <w:numId w:val="21"/>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1"/>
        </w:numPr>
        <w:spacing w:line="360" w:lineRule="auto"/>
        <w:rPr>
          <w:rFonts w:ascii="宋体" w:hAnsi="宋体"/>
          <w:szCs w:val="21"/>
          <w:u w:val="single"/>
        </w:rPr>
      </w:pPr>
      <w:r>
        <w:rPr>
          <w:rFonts w:hint="eastAsia" w:ascii="宋体" w:hAnsi="宋体"/>
          <w:szCs w:val="21"/>
        </w:rPr>
        <w:t>主要负责人名称：（可选填）</w:t>
      </w:r>
    </w:p>
    <w:p>
      <w:pPr>
        <w:numPr>
          <w:ilvl w:val="0"/>
          <w:numId w:val="21"/>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1"/>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1"/>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1"/>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8" w:name="_Toc26259745"/>
      <w:bookmarkStart w:id="99" w:name="_Toc26260039"/>
      <w:bookmarkStart w:id="100" w:name="_Toc6937866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8"/>
      <w:bookmarkEnd w:id="99"/>
      <w:bookmarkEnd w:id="100"/>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7"/>
      <w:bookmarkEnd w:id="75"/>
      <w:bookmarkEnd w:id="76"/>
      <w:bookmarkEnd w:id="77"/>
    </w:p>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28</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6">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7">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8">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2">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3">
    <w:nsid w:val="2207248F"/>
    <w:multiLevelType w:val="multilevel"/>
    <w:tmpl w:val="2207248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38A71BDC"/>
    <w:multiLevelType w:val="multilevel"/>
    <w:tmpl w:val="38A71BD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7">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8"/>
  </w:num>
  <w:num w:numId="2">
    <w:abstractNumId w:val="16"/>
  </w:num>
  <w:num w:numId="3">
    <w:abstractNumId w:val="4"/>
  </w:num>
  <w:num w:numId="4">
    <w:abstractNumId w:val="1"/>
  </w:num>
  <w:num w:numId="5">
    <w:abstractNumId w:val="14"/>
  </w:num>
  <w:num w:numId="6">
    <w:abstractNumId w:val="0"/>
  </w:num>
  <w:num w:numId="7">
    <w:abstractNumId w:val="13"/>
  </w:num>
  <w:num w:numId="8">
    <w:abstractNumId w:val="2"/>
  </w:num>
  <w:num w:numId="9">
    <w:abstractNumId w:val="15"/>
  </w:num>
  <w:num w:numId="10">
    <w:abstractNumId w:val="3"/>
  </w:num>
  <w:num w:numId="11">
    <w:abstractNumId w:val="17"/>
  </w:num>
  <w:num w:numId="12">
    <w:abstractNumId w:val="20"/>
  </w:num>
  <w:num w:numId="13">
    <w:abstractNumId w:val="8"/>
  </w:num>
  <w:num w:numId="14">
    <w:abstractNumId w:val="6"/>
  </w:num>
  <w:num w:numId="15">
    <w:abstractNumId w:val="7"/>
  </w:num>
  <w:num w:numId="16">
    <w:abstractNumId w:val="5"/>
  </w:num>
  <w:num w:numId="17">
    <w:abstractNumId w:val="9"/>
  </w:num>
  <w:num w:numId="18">
    <w:abstractNumId w:val="10"/>
  </w:num>
  <w:num w:numId="19">
    <w:abstractNumId w:val="11"/>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YzZhMGMxNjNlOGY4ZGIzODAzNDk0NzI1MTQ4MjQ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744"/>
    <w:rsid w:val="00045A14"/>
    <w:rsid w:val="00051071"/>
    <w:rsid w:val="0005189A"/>
    <w:rsid w:val="00053058"/>
    <w:rsid w:val="00053A52"/>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17"/>
    <w:rsid w:val="00087025"/>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471E"/>
    <w:rsid w:val="00117CA9"/>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24F4"/>
    <w:rsid w:val="001437EE"/>
    <w:rsid w:val="001453C5"/>
    <w:rsid w:val="00147621"/>
    <w:rsid w:val="00147FB5"/>
    <w:rsid w:val="00150FE4"/>
    <w:rsid w:val="00151447"/>
    <w:rsid w:val="00151FAB"/>
    <w:rsid w:val="0015329D"/>
    <w:rsid w:val="00154AE8"/>
    <w:rsid w:val="00154B29"/>
    <w:rsid w:val="00154BF3"/>
    <w:rsid w:val="00154CBB"/>
    <w:rsid w:val="00156879"/>
    <w:rsid w:val="0015708F"/>
    <w:rsid w:val="00157313"/>
    <w:rsid w:val="001609CF"/>
    <w:rsid w:val="001618E3"/>
    <w:rsid w:val="00161FB9"/>
    <w:rsid w:val="00162672"/>
    <w:rsid w:val="00162D92"/>
    <w:rsid w:val="00163258"/>
    <w:rsid w:val="001636DE"/>
    <w:rsid w:val="0016388E"/>
    <w:rsid w:val="00163E91"/>
    <w:rsid w:val="001659CD"/>
    <w:rsid w:val="00167A90"/>
    <w:rsid w:val="001708C4"/>
    <w:rsid w:val="00171FDA"/>
    <w:rsid w:val="00172446"/>
    <w:rsid w:val="00172B39"/>
    <w:rsid w:val="001730DF"/>
    <w:rsid w:val="001738F1"/>
    <w:rsid w:val="00175273"/>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AD8"/>
    <w:rsid w:val="001B5F1D"/>
    <w:rsid w:val="001B761F"/>
    <w:rsid w:val="001C00DC"/>
    <w:rsid w:val="001C100F"/>
    <w:rsid w:val="001C2886"/>
    <w:rsid w:val="001C32A3"/>
    <w:rsid w:val="001C3919"/>
    <w:rsid w:val="001C5180"/>
    <w:rsid w:val="001C598B"/>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134"/>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32E"/>
    <w:rsid w:val="002273BE"/>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1229"/>
    <w:rsid w:val="002517FA"/>
    <w:rsid w:val="00253DB4"/>
    <w:rsid w:val="002556C1"/>
    <w:rsid w:val="00255DC9"/>
    <w:rsid w:val="00255F47"/>
    <w:rsid w:val="00256494"/>
    <w:rsid w:val="00262084"/>
    <w:rsid w:val="00263946"/>
    <w:rsid w:val="00263ECA"/>
    <w:rsid w:val="00265008"/>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46C"/>
    <w:rsid w:val="0028791B"/>
    <w:rsid w:val="002912E5"/>
    <w:rsid w:val="00293EF5"/>
    <w:rsid w:val="00296281"/>
    <w:rsid w:val="00296FB0"/>
    <w:rsid w:val="002977C3"/>
    <w:rsid w:val="002A09B2"/>
    <w:rsid w:val="002A18B6"/>
    <w:rsid w:val="002A20BE"/>
    <w:rsid w:val="002A31A6"/>
    <w:rsid w:val="002A398F"/>
    <w:rsid w:val="002A43A7"/>
    <w:rsid w:val="002A57B4"/>
    <w:rsid w:val="002A63D6"/>
    <w:rsid w:val="002A6A43"/>
    <w:rsid w:val="002A6ADA"/>
    <w:rsid w:val="002A77CF"/>
    <w:rsid w:val="002B07CB"/>
    <w:rsid w:val="002B271D"/>
    <w:rsid w:val="002B274E"/>
    <w:rsid w:val="002B3E52"/>
    <w:rsid w:val="002C0317"/>
    <w:rsid w:val="002C1A9F"/>
    <w:rsid w:val="002C1F7C"/>
    <w:rsid w:val="002C4DE8"/>
    <w:rsid w:val="002C547D"/>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66EF"/>
    <w:rsid w:val="003109D7"/>
    <w:rsid w:val="00310C0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36DFE"/>
    <w:rsid w:val="00340248"/>
    <w:rsid w:val="003411C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41FE"/>
    <w:rsid w:val="003743A8"/>
    <w:rsid w:val="00374961"/>
    <w:rsid w:val="00374FD7"/>
    <w:rsid w:val="00375173"/>
    <w:rsid w:val="00375782"/>
    <w:rsid w:val="00380A80"/>
    <w:rsid w:val="0038135C"/>
    <w:rsid w:val="00381F8E"/>
    <w:rsid w:val="003823EC"/>
    <w:rsid w:val="003825FC"/>
    <w:rsid w:val="003827BD"/>
    <w:rsid w:val="0038337F"/>
    <w:rsid w:val="00384CFA"/>
    <w:rsid w:val="00385258"/>
    <w:rsid w:val="00385698"/>
    <w:rsid w:val="00387449"/>
    <w:rsid w:val="00387BE1"/>
    <w:rsid w:val="003906FA"/>
    <w:rsid w:val="00391568"/>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6F6D"/>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6A17"/>
    <w:rsid w:val="003E794B"/>
    <w:rsid w:val="003E7A69"/>
    <w:rsid w:val="003F0D93"/>
    <w:rsid w:val="003F216D"/>
    <w:rsid w:val="003F360C"/>
    <w:rsid w:val="003F60F1"/>
    <w:rsid w:val="003F6412"/>
    <w:rsid w:val="00400138"/>
    <w:rsid w:val="00400873"/>
    <w:rsid w:val="004011D2"/>
    <w:rsid w:val="004055F1"/>
    <w:rsid w:val="00405B38"/>
    <w:rsid w:val="00407BD1"/>
    <w:rsid w:val="00407EEE"/>
    <w:rsid w:val="0041014B"/>
    <w:rsid w:val="00410A41"/>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FC5"/>
    <w:rsid w:val="00436153"/>
    <w:rsid w:val="004369D4"/>
    <w:rsid w:val="00436D27"/>
    <w:rsid w:val="00440AA3"/>
    <w:rsid w:val="004416B7"/>
    <w:rsid w:val="00441BA6"/>
    <w:rsid w:val="004447F8"/>
    <w:rsid w:val="004454EF"/>
    <w:rsid w:val="00445BE7"/>
    <w:rsid w:val="004463F2"/>
    <w:rsid w:val="00446B22"/>
    <w:rsid w:val="004472C3"/>
    <w:rsid w:val="00453075"/>
    <w:rsid w:val="00453CED"/>
    <w:rsid w:val="00457347"/>
    <w:rsid w:val="00457459"/>
    <w:rsid w:val="00460414"/>
    <w:rsid w:val="00460838"/>
    <w:rsid w:val="004611AD"/>
    <w:rsid w:val="00463598"/>
    <w:rsid w:val="0046498B"/>
    <w:rsid w:val="004663B1"/>
    <w:rsid w:val="00466DB6"/>
    <w:rsid w:val="00467E20"/>
    <w:rsid w:val="00467E2B"/>
    <w:rsid w:val="00467FDA"/>
    <w:rsid w:val="00470024"/>
    <w:rsid w:val="00470730"/>
    <w:rsid w:val="00473658"/>
    <w:rsid w:val="00473F94"/>
    <w:rsid w:val="004749B7"/>
    <w:rsid w:val="00477EF6"/>
    <w:rsid w:val="004809A0"/>
    <w:rsid w:val="004821CC"/>
    <w:rsid w:val="00482693"/>
    <w:rsid w:val="00483653"/>
    <w:rsid w:val="00484086"/>
    <w:rsid w:val="004854F3"/>
    <w:rsid w:val="0048667A"/>
    <w:rsid w:val="004917CD"/>
    <w:rsid w:val="0049216E"/>
    <w:rsid w:val="00492A51"/>
    <w:rsid w:val="00492CA0"/>
    <w:rsid w:val="00492EF4"/>
    <w:rsid w:val="00493168"/>
    <w:rsid w:val="0049373E"/>
    <w:rsid w:val="00494435"/>
    <w:rsid w:val="00494AEA"/>
    <w:rsid w:val="00495459"/>
    <w:rsid w:val="0049606A"/>
    <w:rsid w:val="0049659C"/>
    <w:rsid w:val="004968D2"/>
    <w:rsid w:val="004A0AAD"/>
    <w:rsid w:val="004A2717"/>
    <w:rsid w:val="004A2DF6"/>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48F0"/>
    <w:rsid w:val="004C5137"/>
    <w:rsid w:val="004C6542"/>
    <w:rsid w:val="004D0B16"/>
    <w:rsid w:val="004D0C03"/>
    <w:rsid w:val="004D0FD1"/>
    <w:rsid w:val="004D1790"/>
    <w:rsid w:val="004D1F26"/>
    <w:rsid w:val="004D2528"/>
    <w:rsid w:val="004D28EA"/>
    <w:rsid w:val="004D38A6"/>
    <w:rsid w:val="004D39FE"/>
    <w:rsid w:val="004D3A64"/>
    <w:rsid w:val="004D46CB"/>
    <w:rsid w:val="004D4E05"/>
    <w:rsid w:val="004D5644"/>
    <w:rsid w:val="004D7389"/>
    <w:rsid w:val="004D7421"/>
    <w:rsid w:val="004E484D"/>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3A66"/>
    <w:rsid w:val="00524463"/>
    <w:rsid w:val="005253A2"/>
    <w:rsid w:val="00525620"/>
    <w:rsid w:val="00525AB8"/>
    <w:rsid w:val="00527ED3"/>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075F"/>
    <w:rsid w:val="00561407"/>
    <w:rsid w:val="00562135"/>
    <w:rsid w:val="005628ED"/>
    <w:rsid w:val="005630C9"/>
    <w:rsid w:val="00563240"/>
    <w:rsid w:val="005637E0"/>
    <w:rsid w:val="00566416"/>
    <w:rsid w:val="00566566"/>
    <w:rsid w:val="0057081A"/>
    <w:rsid w:val="0057148D"/>
    <w:rsid w:val="00571A6D"/>
    <w:rsid w:val="00573B44"/>
    <w:rsid w:val="00573DFD"/>
    <w:rsid w:val="00575725"/>
    <w:rsid w:val="00575A46"/>
    <w:rsid w:val="005774B5"/>
    <w:rsid w:val="00580300"/>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C6C09"/>
    <w:rsid w:val="005C7808"/>
    <w:rsid w:val="005D0D2A"/>
    <w:rsid w:val="005D25EE"/>
    <w:rsid w:val="005D7701"/>
    <w:rsid w:val="005D7D9C"/>
    <w:rsid w:val="005E0D66"/>
    <w:rsid w:val="005E1371"/>
    <w:rsid w:val="005E1417"/>
    <w:rsid w:val="005E1BAA"/>
    <w:rsid w:val="005E1FD8"/>
    <w:rsid w:val="005E30A9"/>
    <w:rsid w:val="005E42DC"/>
    <w:rsid w:val="005E447F"/>
    <w:rsid w:val="005E4B3B"/>
    <w:rsid w:val="005E66F2"/>
    <w:rsid w:val="005E69F1"/>
    <w:rsid w:val="005E739F"/>
    <w:rsid w:val="005E7520"/>
    <w:rsid w:val="005F0CAB"/>
    <w:rsid w:val="005F0D66"/>
    <w:rsid w:val="005F0E61"/>
    <w:rsid w:val="005F2B9A"/>
    <w:rsid w:val="005F2BD7"/>
    <w:rsid w:val="005F59A0"/>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4E77"/>
    <w:rsid w:val="0065606C"/>
    <w:rsid w:val="00656628"/>
    <w:rsid w:val="006609AE"/>
    <w:rsid w:val="006617C2"/>
    <w:rsid w:val="006620D5"/>
    <w:rsid w:val="00662A9F"/>
    <w:rsid w:val="0066348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38B9"/>
    <w:rsid w:val="006E43A2"/>
    <w:rsid w:val="006E7D5D"/>
    <w:rsid w:val="006F0B9C"/>
    <w:rsid w:val="006F0D0A"/>
    <w:rsid w:val="006F2EB0"/>
    <w:rsid w:val="006F34DE"/>
    <w:rsid w:val="006F7226"/>
    <w:rsid w:val="006F7AB0"/>
    <w:rsid w:val="00700BFB"/>
    <w:rsid w:val="00701C14"/>
    <w:rsid w:val="007021A9"/>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4032"/>
    <w:rsid w:val="007462FA"/>
    <w:rsid w:val="00747804"/>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D68"/>
    <w:rsid w:val="00774A4B"/>
    <w:rsid w:val="0077591D"/>
    <w:rsid w:val="007766B9"/>
    <w:rsid w:val="007801B9"/>
    <w:rsid w:val="0078061D"/>
    <w:rsid w:val="007819BB"/>
    <w:rsid w:val="00782301"/>
    <w:rsid w:val="00783925"/>
    <w:rsid w:val="007842B2"/>
    <w:rsid w:val="007853CA"/>
    <w:rsid w:val="00786912"/>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9F9"/>
    <w:rsid w:val="007B0CB5"/>
    <w:rsid w:val="007B17F8"/>
    <w:rsid w:val="007B3937"/>
    <w:rsid w:val="007B3C00"/>
    <w:rsid w:val="007C12AF"/>
    <w:rsid w:val="007C2A0A"/>
    <w:rsid w:val="007C33BF"/>
    <w:rsid w:val="007C489B"/>
    <w:rsid w:val="007C4B99"/>
    <w:rsid w:val="007C5342"/>
    <w:rsid w:val="007C5B87"/>
    <w:rsid w:val="007C73A6"/>
    <w:rsid w:val="007C7554"/>
    <w:rsid w:val="007C7834"/>
    <w:rsid w:val="007C7918"/>
    <w:rsid w:val="007D0B1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2D46"/>
    <w:rsid w:val="00804E62"/>
    <w:rsid w:val="008054E6"/>
    <w:rsid w:val="008070FF"/>
    <w:rsid w:val="008120B6"/>
    <w:rsid w:val="008128A7"/>
    <w:rsid w:val="00812920"/>
    <w:rsid w:val="008144DF"/>
    <w:rsid w:val="00814B95"/>
    <w:rsid w:val="00815478"/>
    <w:rsid w:val="0082056C"/>
    <w:rsid w:val="00820819"/>
    <w:rsid w:val="008208E5"/>
    <w:rsid w:val="00820E95"/>
    <w:rsid w:val="0082104F"/>
    <w:rsid w:val="00821191"/>
    <w:rsid w:val="00821445"/>
    <w:rsid w:val="00821D94"/>
    <w:rsid w:val="008240B2"/>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273E"/>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346"/>
    <w:rsid w:val="008A4A45"/>
    <w:rsid w:val="008A5CCB"/>
    <w:rsid w:val="008A63DF"/>
    <w:rsid w:val="008A64FB"/>
    <w:rsid w:val="008A6678"/>
    <w:rsid w:val="008A687B"/>
    <w:rsid w:val="008A7101"/>
    <w:rsid w:val="008A78FF"/>
    <w:rsid w:val="008B016E"/>
    <w:rsid w:val="008B081C"/>
    <w:rsid w:val="008B0D09"/>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B17"/>
    <w:rsid w:val="008E40DA"/>
    <w:rsid w:val="008E4215"/>
    <w:rsid w:val="008E5067"/>
    <w:rsid w:val="008E65A4"/>
    <w:rsid w:val="008F0E2E"/>
    <w:rsid w:val="008F1C28"/>
    <w:rsid w:val="008F2563"/>
    <w:rsid w:val="008F49E2"/>
    <w:rsid w:val="008F6F63"/>
    <w:rsid w:val="008F7F90"/>
    <w:rsid w:val="0090066A"/>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1880"/>
    <w:rsid w:val="009540B2"/>
    <w:rsid w:val="0095523A"/>
    <w:rsid w:val="009565F7"/>
    <w:rsid w:val="009577FB"/>
    <w:rsid w:val="00960216"/>
    <w:rsid w:val="00960257"/>
    <w:rsid w:val="009603FE"/>
    <w:rsid w:val="00961795"/>
    <w:rsid w:val="00962378"/>
    <w:rsid w:val="00963201"/>
    <w:rsid w:val="00963D0F"/>
    <w:rsid w:val="00963DEF"/>
    <w:rsid w:val="00964591"/>
    <w:rsid w:val="0096591F"/>
    <w:rsid w:val="0096693D"/>
    <w:rsid w:val="0097126D"/>
    <w:rsid w:val="00971644"/>
    <w:rsid w:val="009732CC"/>
    <w:rsid w:val="0097335B"/>
    <w:rsid w:val="00973A50"/>
    <w:rsid w:val="00974409"/>
    <w:rsid w:val="00974A07"/>
    <w:rsid w:val="00975573"/>
    <w:rsid w:val="00975817"/>
    <w:rsid w:val="00975F28"/>
    <w:rsid w:val="009770E2"/>
    <w:rsid w:val="0097735E"/>
    <w:rsid w:val="00981266"/>
    <w:rsid w:val="0098194E"/>
    <w:rsid w:val="0098288F"/>
    <w:rsid w:val="009832FC"/>
    <w:rsid w:val="009841E7"/>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5385"/>
    <w:rsid w:val="009B0BC3"/>
    <w:rsid w:val="009B1AA2"/>
    <w:rsid w:val="009B2E27"/>
    <w:rsid w:val="009C01D5"/>
    <w:rsid w:val="009C02FA"/>
    <w:rsid w:val="009C08A1"/>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361"/>
    <w:rsid w:val="00A0349B"/>
    <w:rsid w:val="00A03B76"/>
    <w:rsid w:val="00A03EDC"/>
    <w:rsid w:val="00A05147"/>
    <w:rsid w:val="00A05E0E"/>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1277"/>
    <w:rsid w:val="00A62733"/>
    <w:rsid w:val="00A62E39"/>
    <w:rsid w:val="00A63A54"/>
    <w:rsid w:val="00A6438F"/>
    <w:rsid w:val="00A65340"/>
    <w:rsid w:val="00A656CC"/>
    <w:rsid w:val="00A65FEE"/>
    <w:rsid w:val="00A6644B"/>
    <w:rsid w:val="00A66D95"/>
    <w:rsid w:val="00A67F8A"/>
    <w:rsid w:val="00A7000B"/>
    <w:rsid w:val="00A720E0"/>
    <w:rsid w:val="00A729CB"/>
    <w:rsid w:val="00A7312E"/>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28C"/>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C0C97"/>
    <w:rsid w:val="00AC294F"/>
    <w:rsid w:val="00AC2985"/>
    <w:rsid w:val="00AC52E0"/>
    <w:rsid w:val="00AC6A2F"/>
    <w:rsid w:val="00AC6A3E"/>
    <w:rsid w:val="00AD12F9"/>
    <w:rsid w:val="00AD1D21"/>
    <w:rsid w:val="00AD2E07"/>
    <w:rsid w:val="00AD347F"/>
    <w:rsid w:val="00AD362D"/>
    <w:rsid w:val="00AD4820"/>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651"/>
    <w:rsid w:val="00B20AFF"/>
    <w:rsid w:val="00B232C2"/>
    <w:rsid w:val="00B2443F"/>
    <w:rsid w:val="00B27F15"/>
    <w:rsid w:val="00B3059B"/>
    <w:rsid w:val="00B32917"/>
    <w:rsid w:val="00B32C50"/>
    <w:rsid w:val="00B3314B"/>
    <w:rsid w:val="00B36610"/>
    <w:rsid w:val="00B36A21"/>
    <w:rsid w:val="00B37CF6"/>
    <w:rsid w:val="00B412A6"/>
    <w:rsid w:val="00B4395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286C"/>
    <w:rsid w:val="00BE3108"/>
    <w:rsid w:val="00BE320A"/>
    <w:rsid w:val="00BE3C86"/>
    <w:rsid w:val="00BE5398"/>
    <w:rsid w:val="00BE6786"/>
    <w:rsid w:val="00BE7242"/>
    <w:rsid w:val="00BF2ABC"/>
    <w:rsid w:val="00BF55D9"/>
    <w:rsid w:val="00BF6253"/>
    <w:rsid w:val="00BF6277"/>
    <w:rsid w:val="00BF72E6"/>
    <w:rsid w:val="00BF77DD"/>
    <w:rsid w:val="00C022FB"/>
    <w:rsid w:val="00C02B8C"/>
    <w:rsid w:val="00C047F6"/>
    <w:rsid w:val="00C04EE3"/>
    <w:rsid w:val="00C05160"/>
    <w:rsid w:val="00C06549"/>
    <w:rsid w:val="00C06CB7"/>
    <w:rsid w:val="00C1241A"/>
    <w:rsid w:val="00C12D5A"/>
    <w:rsid w:val="00C138E9"/>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2B66"/>
    <w:rsid w:val="00C53915"/>
    <w:rsid w:val="00C55F2D"/>
    <w:rsid w:val="00C577AE"/>
    <w:rsid w:val="00C61B66"/>
    <w:rsid w:val="00C61CF0"/>
    <w:rsid w:val="00C625CB"/>
    <w:rsid w:val="00C654BF"/>
    <w:rsid w:val="00C67FD0"/>
    <w:rsid w:val="00C703FE"/>
    <w:rsid w:val="00C70483"/>
    <w:rsid w:val="00C7065B"/>
    <w:rsid w:val="00C70DBB"/>
    <w:rsid w:val="00C745A7"/>
    <w:rsid w:val="00C7472D"/>
    <w:rsid w:val="00C74BF9"/>
    <w:rsid w:val="00C77881"/>
    <w:rsid w:val="00C77E1E"/>
    <w:rsid w:val="00C80BD4"/>
    <w:rsid w:val="00C833BA"/>
    <w:rsid w:val="00C83A12"/>
    <w:rsid w:val="00C84C1D"/>
    <w:rsid w:val="00C85E2D"/>
    <w:rsid w:val="00C86304"/>
    <w:rsid w:val="00C90494"/>
    <w:rsid w:val="00C9053F"/>
    <w:rsid w:val="00C919D4"/>
    <w:rsid w:val="00C927E2"/>
    <w:rsid w:val="00C92F2E"/>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84B"/>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56F8"/>
    <w:rsid w:val="00CF7939"/>
    <w:rsid w:val="00D025BD"/>
    <w:rsid w:val="00D02603"/>
    <w:rsid w:val="00D02C3D"/>
    <w:rsid w:val="00D0309F"/>
    <w:rsid w:val="00D03278"/>
    <w:rsid w:val="00D03FDD"/>
    <w:rsid w:val="00D04C3C"/>
    <w:rsid w:val="00D052EF"/>
    <w:rsid w:val="00D053D1"/>
    <w:rsid w:val="00D05524"/>
    <w:rsid w:val="00D074A9"/>
    <w:rsid w:val="00D07829"/>
    <w:rsid w:val="00D102DD"/>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16D9"/>
    <w:rsid w:val="00DA2E3B"/>
    <w:rsid w:val="00DA3CAD"/>
    <w:rsid w:val="00DA6A64"/>
    <w:rsid w:val="00DA6C7B"/>
    <w:rsid w:val="00DA78A1"/>
    <w:rsid w:val="00DA7920"/>
    <w:rsid w:val="00DB02F5"/>
    <w:rsid w:val="00DB0585"/>
    <w:rsid w:val="00DB090B"/>
    <w:rsid w:val="00DB0BC6"/>
    <w:rsid w:val="00DB16AC"/>
    <w:rsid w:val="00DB20DD"/>
    <w:rsid w:val="00DB27CE"/>
    <w:rsid w:val="00DB35C9"/>
    <w:rsid w:val="00DB4858"/>
    <w:rsid w:val="00DB486F"/>
    <w:rsid w:val="00DB7734"/>
    <w:rsid w:val="00DB7F30"/>
    <w:rsid w:val="00DB7FEE"/>
    <w:rsid w:val="00DC0377"/>
    <w:rsid w:val="00DC0991"/>
    <w:rsid w:val="00DC2336"/>
    <w:rsid w:val="00DC23BA"/>
    <w:rsid w:val="00DC4387"/>
    <w:rsid w:val="00DC46C7"/>
    <w:rsid w:val="00DC6922"/>
    <w:rsid w:val="00DC7389"/>
    <w:rsid w:val="00DD000F"/>
    <w:rsid w:val="00DD245F"/>
    <w:rsid w:val="00DD2CAA"/>
    <w:rsid w:val="00DD46B7"/>
    <w:rsid w:val="00DD4C53"/>
    <w:rsid w:val="00DD6D50"/>
    <w:rsid w:val="00DE031C"/>
    <w:rsid w:val="00DE089E"/>
    <w:rsid w:val="00DE29DE"/>
    <w:rsid w:val="00DE33CC"/>
    <w:rsid w:val="00DE362D"/>
    <w:rsid w:val="00DE48E7"/>
    <w:rsid w:val="00DE5E8B"/>
    <w:rsid w:val="00DE7E55"/>
    <w:rsid w:val="00DF0382"/>
    <w:rsid w:val="00DF058D"/>
    <w:rsid w:val="00DF1E16"/>
    <w:rsid w:val="00DF225D"/>
    <w:rsid w:val="00DF2D6F"/>
    <w:rsid w:val="00DF44A0"/>
    <w:rsid w:val="00DF4831"/>
    <w:rsid w:val="00DF492D"/>
    <w:rsid w:val="00DF5778"/>
    <w:rsid w:val="00DF641A"/>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4F75"/>
    <w:rsid w:val="00E55E07"/>
    <w:rsid w:val="00E56AE2"/>
    <w:rsid w:val="00E5738A"/>
    <w:rsid w:val="00E57ADB"/>
    <w:rsid w:val="00E6188E"/>
    <w:rsid w:val="00E61CF3"/>
    <w:rsid w:val="00E6204E"/>
    <w:rsid w:val="00E63619"/>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F34"/>
    <w:rsid w:val="00E85390"/>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6A7F"/>
    <w:rsid w:val="00EC7634"/>
    <w:rsid w:val="00EC77D4"/>
    <w:rsid w:val="00ED0F26"/>
    <w:rsid w:val="00ED1D17"/>
    <w:rsid w:val="00ED1D3A"/>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240A"/>
    <w:rsid w:val="00EF298C"/>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52F"/>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872D4"/>
    <w:rsid w:val="00F909A0"/>
    <w:rsid w:val="00F90DAF"/>
    <w:rsid w:val="00F91A09"/>
    <w:rsid w:val="00F932D5"/>
    <w:rsid w:val="00F94372"/>
    <w:rsid w:val="00F9473C"/>
    <w:rsid w:val="00F94968"/>
    <w:rsid w:val="00F9509E"/>
    <w:rsid w:val="00F95A09"/>
    <w:rsid w:val="00F972C1"/>
    <w:rsid w:val="00FA0074"/>
    <w:rsid w:val="00FA1553"/>
    <w:rsid w:val="00FA55E5"/>
    <w:rsid w:val="00FA7232"/>
    <w:rsid w:val="00FB0122"/>
    <w:rsid w:val="00FB29A7"/>
    <w:rsid w:val="00FB2E48"/>
    <w:rsid w:val="00FB5555"/>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4D6F"/>
    <w:rsid w:val="00FD50A0"/>
    <w:rsid w:val="00FD5DD3"/>
    <w:rsid w:val="00FD68C2"/>
    <w:rsid w:val="00FD7AE2"/>
    <w:rsid w:val="00FE1761"/>
    <w:rsid w:val="00FE2225"/>
    <w:rsid w:val="00FE2E59"/>
    <w:rsid w:val="00FE3332"/>
    <w:rsid w:val="00FE37EF"/>
    <w:rsid w:val="00FE455A"/>
    <w:rsid w:val="00FE4EB5"/>
    <w:rsid w:val="00FE7247"/>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A80C3F"/>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54F6D1A"/>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99"/>
    <w:pPr>
      <w:keepNext/>
      <w:keepLines/>
      <w:spacing w:before="240" w:after="64" w:line="320" w:lineRule="auto"/>
      <w:outlineLvl w:val="6"/>
    </w:pPr>
    <w:rPr>
      <w:b/>
      <w:bCs/>
      <w:sz w:val="24"/>
    </w:rPr>
  </w:style>
  <w:style w:type="paragraph" w:styleId="9">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ascii="Calibri" w:hAnsi="Calibri"/>
      <w:szCs w:val="22"/>
    </w:rPr>
  </w:style>
  <w:style w:type="paragraph" w:styleId="12">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qFormat/>
    <w:uiPriority w:val="99"/>
    <w:pPr>
      <w:tabs>
        <w:tab w:val="left" w:pos="360"/>
      </w:tabs>
      <w:ind w:left="360" w:hanging="200" w:hangingChars="200"/>
    </w:pPr>
  </w:style>
  <w:style w:type="paragraph" w:styleId="15">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15"/>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99"/>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15"/>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6"/>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7"/>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1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15"/>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15"/>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4353A-866E-41F3-A8C9-9C2EB2B9EBB8}">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47</Pages>
  <Words>20941</Words>
  <Characters>21955</Characters>
  <Lines>170</Lines>
  <Paragraphs>47</Paragraphs>
  <TotalTime>93</TotalTime>
  <ScaleCrop>false</ScaleCrop>
  <LinksUpToDate>false</LinksUpToDate>
  <CharactersWithSpaces>22508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2022-05-30T06:48:00Z</dcterms:created>
  <dc:creator>Administrator</dc:creator>
  <cp:lastModifiedBy>Ccyu.</cp:lastModifiedBy>
  <cp:lastPrinted>2017-04-10T13:36:00Z</cp:lastPrinted>
  <dcterms:modified xsi:type="dcterms:W3CDTF">2022-06-10T09:35:12Z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BAB832221A504AFE8B5064B409C1CEB8</vt:lpwstr>
  </property>
</Properties>
</file>