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bCs/>
          <w:sz w:val="44"/>
          <w:szCs w:val="44"/>
        </w:rPr>
      </w:pPr>
    </w:p>
    <w:p>
      <w:pPr>
        <w:spacing w:line="360" w:lineRule="auto"/>
        <w:jc w:val="center"/>
        <w:rPr>
          <w:sz w:val="44"/>
        </w:rPr>
      </w:pPr>
      <w:r>
        <w:rPr>
          <w:rFonts w:hint="eastAsia"/>
          <w:sz w:val="44"/>
        </w:rPr>
        <w:t>江苏省广电有线信息网络股份有限公司</w:t>
      </w:r>
    </w:p>
    <w:p>
      <w:pPr>
        <w:spacing w:before="100" w:beforeAutospacing="1" w:after="100" w:afterAutospacing="1"/>
        <w:ind w:right="32"/>
        <w:jc w:val="center"/>
        <w:rPr>
          <w:b/>
          <w:bCs/>
          <w:sz w:val="32"/>
          <w:szCs w:val="32"/>
        </w:rPr>
      </w:pPr>
      <w:r>
        <w:rPr>
          <w:rFonts w:hint="eastAsia"/>
          <w:sz w:val="44"/>
        </w:rPr>
        <w:t>大塔机房设备和配套设备搬迁项目</w:t>
      </w:r>
    </w:p>
    <w:p>
      <w:pPr>
        <w:spacing w:before="100" w:beforeAutospacing="1" w:after="100" w:afterAutospacing="1"/>
        <w:jc w:val="center"/>
        <w:rPr>
          <w:sz w:val="44"/>
        </w:rPr>
      </w:pPr>
      <w:r>
        <w:rPr>
          <w:rFonts w:hint="eastAsia"/>
          <w:sz w:val="44"/>
        </w:rPr>
        <w:t>竞争性谈判文件</w:t>
      </w:r>
    </w:p>
    <w:p>
      <w:pPr>
        <w:spacing w:before="100" w:beforeAutospacing="1" w:after="100" w:afterAutospacing="1"/>
        <w:jc w:val="center"/>
        <w:rPr>
          <w:b/>
          <w:sz w:val="36"/>
          <w:szCs w:val="36"/>
        </w:rPr>
      </w:pPr>
    </w:p>
    <w:p>
      <w:pPr>
        <w:spacing w:before="100" w:beforeAutospacing="1" w:after="100" w:afterAutospacing="1"/>
        <w:ind w:firstLine="1838" w:firstLineChars="416"/>
        <w:jc w:val="left"/>
        <w:rPr>
          <w:b/>
          <w:sz w:val="44"/>
          <w:szCs w:val="44"/>
        </w:rPr>
      </w:pPr>
    </w:p>
    <w:p>
      <w:pPr>
        <w:jc w:val="center"/>
        <w:rPr>
          <w:rFonts w:ascii="仿宋_GB2312" w:hAnsi="宋体" w:eastAsia="仿宋_GB2312"/>
          <w:b/>
          <w:color w:val="000000"/>
          <w:sz w:val="32"/>
          <w:szCs w:val="32"/>
        </w:rPr>
      </w:pPr>
      <w:r>
        <w:rPr>
          <w:rFonts w:hint="eastAsia" w:ascii="仿宋_GB2312" w:hAnsi="宋体" w:eastAsia="仿宋_GB2312"/>
          <w:b/>
          <w:color w:val="000000"/>
          <w:sz w:val="32"/>
          <w:szCs w:val="32"/>
        </w:rPr>
        <w:t>编号：</w:t>
      </w:r>
      <w:r>
        <w:rPr>
          <w:rFonts w:ascii="仿宋_GB2312" w:hAnsi="宋体" w:eastAsia="仿宋_GB2312"/>
          <w:b/>
          <w:color w:val="000000"/>
          <w:sz w:val="32"/>
          <w:szCs w:val="32"/>
        </w:rPr>
        <w:t>JSCNAB2024[004]</w:t>
      </w:r>
    </w:p>
    <w:p>
      <w:pPr>
        <w:spacing w:before="100" w:beforeAutospacing="1" w:after="100" w:afterAutospacing="1"/>
        <w:jc w:val="center"/>
        <w:rPr>
          <w:sz w:val="24"/>
        </w:rPr>
      </w:pPr>
    </w:p>
    <w:p>
      <w:pPr>
        <w:pStyle w:val="2"/>
        <w:rPr>
          <w:rFonts w:hint="eastAsia"/>
        </w:rPr>
      </w:pPr>
    </w:p>
    <w:p>
      <w:pPr>
        <w:spacing w:before="100" w:beforeAutospacing="1" w:after="100" w:afterAutospacing="1"/>
        <w:jc w:val="center"/>
        <w:rPr>
          <w:sz w:val="24"/>
        </w:rPr>
      </w:pPr>
    </w:p>
    <w:p>
      <w:pPr>
        <w:spacing w:before="100" w:beforeAutospacing="1" w:after="100" w:afterAutospacing="1"/>
        <w:jc w:val="center"/>
        <w:rPr>
          <w:sz w:val="24"/>
        </w:rPr>
      </w:pPr>
    </w:p>
    <w:p>
      <w:pPr>
        <w:spacing w:before="100" w:beforeAutospacing="1" w:after="100" w:afterAutospacing="1"/>
        <w:jc w:val="center"/>
        <w:rPr>
          <w:sz w:val="24"/>
        </w:rPr>
      </w:pPr>
    </w:p>
    <w:p>
      <w:pPr>
        <w:spacing w:before="100" w:beforeAutospacing="1" w:after="100" w:afterAutospacing="1"/>
        <w:jc w:val="center"/>
        <w:rPr>
          <w:b/>
          <w:sz w:val="36"/>
          <w:szCs w:val="21"/>
          <w:shd w:val="clear" w:color="auto" w:fill="FFFFFF"/>
        </w:rPr>
      </w:pPr>
      <w:r>
        <w:rPr>
          <w:rFonts w:hint="eastAsia"/>
          <w:b/>
          <w:sz w:val="44"/>
          <w:shd w:val="clear" w:color="auto" w:fill="FFFFFF"/>
        </w:rPr>
        <w:t>采购人：</w:t>
      </w:r>
      <w:r>
        <w:rPr>
          <w:rFonts w:hint="eastAsia"/>
          <w:b/>
          <w:sz w:val="36"/>
          <w:szCs w:val="21"/>
          <w:shd w:val="clear" w:color="auto" w:fill="FFFFFF"/>
        </w:rPr>
        <w:t>江苏省广电有线信息网络股份有限公司</w:t>
      </w:r>
    </w:p>
    <w:p>
      <w:pPr>
        <w:spacing w:before="100" w:beforeAutospacing="1" w:after="100" w:afterAutospacing="1"/>
        <w:jc w:val="center"/>
        <w:rPr>
          <w:b/>
          <w:sz w:val="44"/>
          <w:szCs w:val="36"/>
        </w:rPr>
      </w:pPr>
    </w:p>
    <w:p>
      <w:pPr>
        <w:spacing w:before="100" w:beforeAutospacing="1" w:after="100" w:afterAutospacing="1"/>
        <w:jc w:val="center"/>
        <w:rPr>
          <w:b/>
          <w:sz w:val="52"/>
        </w:rPr>
      </w:pPr>
      <w:r>
        <w:rPr>
          <w:b/>
          <w:sz w:val="44"/>
          <w:szCs w:val="36"/>
        </w:rPr>
        <w:t>202</w:t>
      </w:r>
      <w:r>
        <w:rPr>
          <w:rFonts w:hint="eastAsia"/>
          <w:b/>
          <w:sz w:val="44"/>
          <w:szCs w:val="36"/>
        </w:rPr>
        <w:t>4年</w:t>
      </w:r>
      <w:r>
        <w:rPr>
          <w:b/>
          <w:sz w:val="44"/>
          <w:szCs w:val="36"/>
        </w:rPr>
        <w:t>5</w:t>
      </w:r>
      <w:r>
        <w:rPr>
          <w:rFonts w:hint="eastAsia"/>
          <w:b/>
          <w:sz w:val="44"/>
          <w:szCs w:val="36"/>
        </w:rPr>
        <w:t>月</w:t>
      </w:r>
    </w:p>
    <w:p>
      <w:pPr>
        <w:spacing w:before="100" w:beforeAutospacing="1" w:after="100" w:afterAutospacing="1"/>
        <w:jc w:val="center"/>
        <w:rPr>
          <w:b/>
          <w:sz w:val="24"/>
        </w:rPr>
      </w:pPr>
    </w:p>
    <w:sdt>
      <w:sdtPr>
        <w:rPr>
          <w:rFonts w:ascii="Times New Roman" w:hAnsi="Times New Roman" w:eastAsia="宋体" w:cs="Times New Roman"/>
          <w:color w:val="auto"/>
          <w:kern w:val="2"/>
          <w:sz w:val="21"/>
          <w:szCs w:val="24"/>
          <w:lang w:val="zh-CN"/>
        </w:rPr>
        <w:id w:val="163290252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65"/>
            <w:jc w:val="center"/>
            <w:rPr>
              <w:sz w:val="52"/>
              <w:szCs w:val="52"/>
            </w:rPr>
          </w:pPr>
          <w:r>
            <w:rPr>
              <w:sz w:val="52"/>
              <w:szCs w:val="52"/>
              <w:lang w:val="zh-CN"/>
            </w:rPr>
            <w:t>目录</w:t>
          </w:r>
        </w:p>
        <w:p>
          <w:pPr>
            <w:pStyle w:val="17"/>
            <w:tabs>
              <w:tab w:val="right" w:leader="dot" w:pos="8296"/>
            </w:tabs>
            <w:rPr>
              <w:rFonts w:cstheme="minorBidi"/>
              <w:kern w:val="2"/>
              <w:sz w:val="21"/>
              <w14:ligatures w14:val="standardContextual"/>
            </w:rPr>
          </w:pPr>
          <w:r>
            <w:fldChar w:fldCharType="begin"/>
          </w:r>
          <w:r>
            <w:instrText xml:space="preserve"> TOC \o "1-3" \h \z \u </w:instrText>
          </w:r>
          <w:r>
            <w:fldChar w:fldCharType="separate"/>
          </w:r>
          <w:r>
            <w:fldChar w:fldCharType="begin"/>
          </w:r>
          <w:r>
            <w:instrText xml:space="preserve"> HYPERLINK \l "_Toc166247619" </w:instrText>
          </w:r>
          <w:r>
            <w:fldChar w:fldCharType="separate"/>
          </w:r>
          <w:r>
            <w:rPr>
              <w:rStyle w:val="27"/>
            </w:rPr>
            <w:t>第一章  竞争性谈判公告</w:t>
          </w:r>
          <w:r>
            <w:tab/>
          </w:r>
          <w:r>
            <w:fldChar w:fldCharType="begin"/>
          </w:r>
          <w:r>
            <w:instrText xml:space="preserve"> PAGEREF _Toc166247619 \h </w:instrText>
          </w:r>
          <w:r>
            <w:fldChar w:fldCharType="separate"/>
          </w:r>
          <w:r>
            <w:t>3</w:t>
          </w:r>
          <w:r>
            <w:fldChar w:fldCharType="end"/>
          </w:r>
          <w:r>
            <w:fldChar w:fldCharType="end"/>
          </w:r>
        </w:p>
        <w:p>
          <w:pPr>
            <w:pStyle w:val="17"/>
            <w:tabs>
              <w:tab w:val="right" w:leader="dot" w:pos="8296"/>
            </w:tabs>
            <w:rPr>
              <w:rFonts w:cstheme="minorBidi"/>
              <w:kern w:val="2"/>
              <w:sz w:val="21"/>
              <w14:ligatures w14:val="standardContextual"/>
            </w:rPr>
          </w:pPr>
          <w:r>
            <w:fldChar w:fldCharType="begin"/>
          </w:r>
          <w:r>
            <w:instrText xml:space="preserve"> HYPERLINK \l "_Toc166247620" </w:instrText>
          </w:r>
          <w:r>
            <w:fldChar w:fldCharType="separate"/>
          </w:r>
          <w:r>
            <w:rPr>
              <w:rStyle w:val="27"/>
            </w:rPr>
            <w:t>第二章竞争性谈判须知</w:t>
          </w:r>
          <w:r>
            <w:tab/>
          </w:r>
          <w:r>
            <w:fldChar w:fldCharType="begin"/>
          </w:r>
          <w:r>
            <w:instrText xml:space="preserve"> PAGEREF _Toc166247620 \h </w:instrText>
          </w:r>
          <w:r>
            <w:fldChar w:fldCharType="separate"/>
          </w:r>
          <w:r>
            <w:t>6</w:t>
          </w:r>
          <w:r>
            <w:fldChar w:fldCharType="end"/>
          </w:r>
          <w:r>
            <w:fldChar w:fldCharType="end"/>
          </w:r>
        </w:p>
        <w:p>
          <w:pPr>
            <w:pStyle w:val="17"/>
            <w:tabs>
              <w:tab w:val="right" w:leader="dot" w:pos="8296"/>
            </w:tabs>
            <w:rPr>
              <w:rFonts w:cstheme="minorBidi"/>
              <w:kern w:val="2"/>
              <w:sz w:val="21"/>
              <w14:ligatures w14:val="standardContextual"/>
            </w:rPr>
          </w:pPr>
          <w:r>
            <w:fldChar w:fldCharType="begin"/>
          </w:r>
          <w:r>
            <w:instrText xml:space="preserve"> HYPERLINK \l "_Toc166247621" </w:instrText>
          </w:r>
          <w:r>
            <w:fldChar w:fldCharType="separate"/>
          </w:r>
          <w:r>
            <w:rPr>
              <w:rStyle w:val="27"/>
            </w:rPr>
            <w:t>第三章 评审办法</w:t>
          </w:r>
          <w:r>
            <w:tab/>
          </w:r>
          <w:r>
            <w:fldChar w:fldCharType="begin"/>
          </w:r>
          <w:r>
            <w:instrText xml:space="preserve"> PAGEREF _Toc166247621 \h </w:instrText>
          </w:r>
          <w:r>
            <w:fldChar w:fldCharType="separate"/>
          </w:r>
          <w:r>
            <w:t>18</w:t>
          </w:r>
          <w:r>
            <w:fldChar w:fldCharType="end"/>
          </w:r>
          <w:r>
            <w:fldChar w:fldCharType="end"/>
          </w:r>
        </w:p>
        <w:p>
          <w:pPr>
            <w:pStyle w:val="17"/>
            <w:tabs>
              <w:tab w:val="right" w:leader="dot" w:pos="8296"/>
            </w:tabs>
            <w:rPr>
              <w:rFonts w:cstheme="minorBidi"/>
              <w:kern w:val="2"/>
              <w:sz w:val="21"/>
              <w14:ligatures w14:val="standardContextual"/>
            </w:rPr>
          </w:pPr>
          <w:r>
            <w:fldChar w:fldCharType="begin"/>
          </w:r>
          <w:r>
            <w:instrText xml:space="preserve"> HYPERLINK \l "_Toc166247622" </w:instrText>
          </w:r>
          <w:r>
            <w:fldChar w:fldCharType="separate"/>
          </w:r>
          <w:r>
            <w:rPr>
              <w:rStyle w:val="27"/>
            </w:rPr>
            <w:t>第四章  合同</w:t>
          </w:r>
          <w:r>
            <w:tab/>
          </w:r>
          <w:r>
            <w:fldChar w:fldCharType="begin"/>
          </w:r>
          <w:r>
            <w:instrText xml:space="preserve"> PAGEREF _Toc166247622 \h </w:instrText>
          </w:r>
          <w:r>
            <w:fldChar w:fldCharType="separate"/>
          </w:r>
          <w:r>
            <w:t>21</w:t>
          </w:r>
          <w:r>
            <w:fldChar w:fldCharType="end"/>
          </w:r>
          <w:r>
            <w:fldChar w:fldCharType="end"/>
          </w:r>
        </w:p>
        <w:p>
          <w:pPr>
            <w:pStyle w:val="17"/>
            <w:tabs>
              <w:tab w:val="right" w:leader="dot" w:pos="8296"/>
            </w:tabs>
            <w:rPr>
              <w:rFonts w:cstheme="minorBidi"/>
              <w:kern w:val="2"/>
              <w:sz w:val="21"/>
              <w14:ligatures w14:val="standardContextual"/>
            </w:rPr>
          </w:pPr>
          <w:r>
            <w:fldChar w:fldCharType="begin"/>
          </w:r>
          <w:r>
            <w:instrText xml:space="preserve"> HYPERLINK \l "_Toc166247623" </w:instrText>
          </w:r>
          <w:r>
            <w:fldChar w:fldCharType="separate"/>
          </w:r>
          <w:r>
            <w:rPr>
              <w:rStyle w:val="27"/>
            </w:rPr>
            <w:t>第五章 技术需求书</w:t>
          </w:r>
          <w:r>
            <w:tab/>
          </w:r>
          <w:r>
            <w:fldChar w:fldCharType="begin"/>
          </w:r>
          <w:r>
            <w:instrText xml:space="preserve"> PAGEREF _Toc166247623 \h </w:instrText>
          </w:r>
          <w:r>
            <w:fldChar w:fldCharType="separate"/>
          </w:r>
          <w:r>
            <w:t>29</w:t>
          </w:r>
          <w:r>
            <w:fldChar w:fldCharType="end"/>
          </w:r>
          <w:r>
            <w:fldChar w:fldCharType="end"/>
          </w:r>
        </w:p>
        <w:p>
          <w:pPr>
            <w:pStyle w:val="17"/>
            <w:tabs>
              <w:tab w:val="right" w:leader="dot" w:pos="8296"/>
            </w:tabs>
            <w:rPr>
              <w:rFonts w:cstheme="minorBidi"/>
              <w:kern w:val="2"/>
              <w:sz w:val="21"/>
              <w14:ligatures w14:val="standardContextual"/>
            </w:rPr>
          </w:pPr>
          <w:r>
            <w:fldChar w:fldCharType="begin"/>
          </w:r>
          <w:r>
            <w:instrText xml:space="preserve"> HYPERLINK \l "_Toc166247624" </w:instrText>
          </w:r>
          <w:r>
            <w:fldChar w:fldCharType="separate"/>
          </w:r>
          <w:r>
            <w:rPr>
              <w:rStyle w:val="27"/>
            </w:rPr>
            <w:t>第六章 竞争性谈判响应文件格式</w:t>
          </w:r>
          <w:r>
            <w:tab/>
          </w:r>
          <w:r>
            <w:fldChar w:fldCharType="begin"/>
          </w:r>
          <w:r>
            <w:instrText xml:space="preserve"> PAGEREF _Toc166247624 \h </w:instrText>
          </w:r>
          <w:r>
            <w:fldChar w:fldCharType="separate"/>
          </w:r>
          <w:r>
            <w:t>37</w:t>
          </w:r>
          <w:r>
            <w:fldChar w:fldCharType="end"/>
          </w:r>
          <w:r>
            <w:fldChar w:fldCharType="end"/>
          </w:r>
        </w:p>
        <w:p>
          <w:pPr>
            <w:pStyle w:val="17"/>
            <w:tabs>
              <w:tab w:val="right" w:leader="dot" w:pos="8296"/>
            </w:tabs>
            <w:rPr>
              <w:rFonts w:cstheme="minorBidi"/>
              <w:kern w:val="2"/>
              <w:sz w:val="21"/>
              <w14:ligatures w14:val="standardContextual"/>
            </w:rPr>
          </w:pPr>
          <w:r>
            <w:fldChar w:fldCharType="begin"/>
          </w:r>
          <w:r>
            <w:instrText xml:space="preserve"> HYPERLINK \l "_Toc166247625" </w:instrText>
          </w:r>
          <w:r>
            <w:fldChar w:fldCharType="separate"/>
          </w:r>
          <w:r>
            <w:rPr>
              <w:rStyle w:val="27"/>
            </w:rPr>
            <w:t>第七章  其他</w:t>
          </w:r>
          <w:r>
            <w:tab/>
          </w:r>
          <w:r>
            <w:fldChar w:fldCharType="begin"/>
          </w:r>
          <w:r>
            <w:instrText xml:space="preserve"> PAGEREF _Toc166247625 \h </w:instrText>
          </w:r>
          <w:r>
            <w:fldChar w:fldCharType="separate"/>
          </w:r>
          <w:r>
            <w:t>55</w:t>
          </w:r>
          <w:r>
            <w:fldChar w:fldCharType="end"/>
          </w:r>
          <w:r>
            <w:fldChar w:fldCharType="end"/>
          </w:r>
        </w:p>
        <w:p>
          <w:r>
            <w:rPr>
              <w:b/>
              <w:bCs/>
              <w:lang w:val="zh-CN"/>
            </w:rPr>
            <w:fldChar w:fldCharType="end"/>
          </w:r>
        </w:p>
      </w:sdtContent>
    </w:sdt>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widowControl/>
        <w:spacing w:line="360" w:lineRule="auto"/>
        <w:ind w:firstLine="480" w:firstLineChars="200"/>
        <w:rPr>
          <w:sz w:val="24"/>
        </w:rPr>
      </w:pPr>
    </w:p>
    <w:p>
      <w:pPr>
        <w:pStyle w:val="66"/>
        <w:spacing w:line="360" w:lineRule="auto"/>
        <w:jc w:val="center"/>
      </w:pPr>
      <w:bookmarkStart w:id="0" w:name="_Toc166247619"/>
      <w:bookmarkStart w:id="1" w:name="_Hlk166246642"/>
      <w:bookmarkStart w:id="2" w:name="_Hlk106265822"/>
      <w:r>
        <w:rPr>
          <w:rFonts w:hint="eastAsia"/>
        </w:rPr>
        <w:t>第一章  竞争性谈判公告</w:t>
      </w:r>
      <w:bookmarkEnd w:id="0"/>
    </w:p>
    <w:bookmarkEnd w:id="1"/>
    <w:bookmarkEnd w:id="2"/>
    <w:p>
      <w:pPr>
        <w:widowControl/>
        <w:numPr>
          <w:ilvl w:val="0"/>
          <w:numId w:val="0"/>
        </w:numPr>
        <w:spacing w:line="360" w:lineRule="auto"/>
        <w:rPr>
          <w:rFonts w:hint="eastAsia" w:ascii="宋体" w:hAnsi="宋体" w:eastAsia="宋体" w:cs="宋体"/>
          <w:b/>
          <w:kern w:val="0"/>
          <w:sz w:val="24"/>
          <w:lang w:eastAsia="zh-CN"/>
        </w:rPr>
      </w:pPr>
      <w:r>
        <w:rPr>
          <w:rFonts w:hint="eastAsia" w:ascii="宋体" w:hAnsi="宋体" w:cs="宋体"/>
          <w:b/>
          <w:kern w:val="0"/>
          <w:sz w:val="24"/>
          <w:szCs w:val="24"/>
          <w:lang w:val="en-US" w:eastAsia="zh-CN" w:bidi="ar-SA"/>
        </w:rPr>
        <w:t>一</w:t>
      </w:r>
      <w:r>
        <w:rPr>
          <w:rFonts w:hint="eastAsia" w:ascii="宋体" w:hAnsi="宋体" w:eastAsia="宋体" w:cs="宋体"/>
          <w:b/>
          <w:kern w:val="0"/>
          <w:sz w:val="24"/>
          <w:szCs w:val="24"/>
          <w:lang w:val="en-US" w:eastAsia="zh-CN" w:bidi="ar-SA"/>
        </w:rPr>
        <w:t>、</w:t>
      </w:r>
      <w:r>
        <w:rPr>
          <w:rFonts w:hint="eastAsia" w:ascii="宋体" w:hAnsi="宋体" w:cs="宋体"/>
          <w:b/>
          <w:kern w:val="0"/>
          <w:sz w:val="24"/>
          <w:lang w:val="en-US" w:eastAsia="zh-CN"/>
        </w:rPr>
        <w:t>项目概况</w:t>
      </w:r>
    </w:p>
    <w:p>
      <w:pPr>
        <w:widowControl/>
        <w:numPr>
          <w:ilvl w:val="0"/>
          <w:numId w:val="0"/>
        </w:numPr>
        <w:spacing w:line="360" w:lineRule="auto"/>
        <w:ind w:firstLine="480" w:firstLineChars="200"/>
        <w:rPr>
          <w:sz w:val="24"/>
        </w:rPr>
      </w:pPr>
      <w:r>
        <w:rPr>
          <w:sz w:val="24"/>
        </w:rPr>
        <w:t>1.</w:t>
      </w:r>
      <w:r>
        <w:rPr>
          <w:rFonts w:hint="eastAsia"/>
          <w:sz w:val="24"/>
        </w:rPr>
        <w:t>项目名称：</w:t>
      </w:r>
      <w:r>
        <w:rPr>
          <w:rFonts w:hint="eastAsia" w:ascii="宋体" w:hAnsi="宋体"/>
          <w:sz w:val="24"/>
        </w:rPr>
        <w:t>江苏省广电有线信息网络股份有限公司</w:t>
      </w:r>
      <w:r>
        <w:rPr>
          <w:rFonts w:hint="eastAsia"/>
          <w:sz w:val="24"/>
        </w:rPr>
        <w:t>大塔机房设备和配套设备搬迁项目（编号：JSCNAB2024[004]）。</w:t>
      </w:r>
    </w:p>
    <w:p>
      <w:pPr>
        <w:widowControl/>
        <w:spacing w:line="360" w:lineRule="auto"/>
        <w:ind w:firstLine="480" w:firstLineChars="200"/>
        <w:rPr>
          <w:sz w:val="24"/>
        </w:rPr>
      </w:pPr>
      <w:r>
        <w:rPr>
          <w:sz w:val="24"/>
        </w:rPr>
        <w:t>2.概述：</w:t>
      </w:r>
      <w:r>
        <w:rPr>
          <w:rFonts w:hint="eastAsia"/>
          <w:sz w:val="24"/>
        </w:rPr>
        <w:t>根据</w:t>
      </w:r>
      <w:bookmarkStart w:id="78" w:name="_GoBack"/>
      <w:bookmarkEnd w:id="78"/>
      <w:r>
        <w:rPr>
          <w:rFonts w:hint="eastAsia"/>
          <w:sz w:val="24"/>
        </w:rPr>
        <w:t>公司业务发展规划，将原位于南京市鼓楼区石头城路118号江苏电视塔2楼机房搬迁至南京市玄武区运粮河西路101号江苏有线三网融合中心4号楼2-2机房。</w:t>
      </w:r>
    </w:p>
    <w:p>
      <w:pPr>
        <w:widowControl/>
        <w:spacing w:line="360" w:lineRule="auto"/>
        <w:ind w:firstLine="480" w:firstLineChars="200"/>
        <w:rPr>
          <w:sz w:val="24"/>
        </w:rPr>
      </w:pPr>
      <w:r>
        <w:rPr>
          <w:sz w:val="24"/>
        </w:rPr>
        <w:t>3.</w:t>
      </w:r>
      <w:r>
        <w:rPr>
          <w:rFonts w:hint="eastAsia"/>
          <w:sz w:val="24"/>
        </w:rPr>
        <w:t>采购</w:t>
      </w:r>
      <w:r>
        <w:rPr>
          <w:sz w:val="24"/>
        </w:rPr>
        <w:t>内容：</w:t>
      </w:r>
    </w:p>
    <w:tbl>
      <w:tblPr>
        <w:tblStyle w:val="24"/>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506"/>
        <w:gridCol w:w="4381"/>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2" w:type="dxa"/>
            <w:tcBorders>
              <w:bottom w:val="single" w:color="auto" w:sz="4" w:space="0"/>
            </w:tcBorders>
            <w:vAlign w:val="center"/>
          </w:tcPr>
          <w:p>
            <w:pPr>
              <w:jc w:val="center"/>
              <w:rPr>
                <w:rFonts w:cs="宋体"/>
                <w:sz w:val="24"/>
              </w:rPr>
            </w:pPr>
            <w:r>
              <w:rPr>
                <w:rFonts w:hint="eastAsia" w:cs="宋体"/>
                <w:sz w:val="24"/>
              </w:rPr>
              <w:t>序号</w:t>
            </w:r>
          </w:p>
        </w:tc>
        <w:tc>
          <w:tcPr>
            <w:tcW w:w="1506" w:type="dxa"/>
            <w:tcBorders>
              <w:bottom w:val="single" w:color="auto" w:sz="4" w:space="0"/>
            </w:tcBorders>
            <w:vAlign w:val="center"/>
          </w:tcPr>
          <w:p>
            <w:pPr>
              <w:jc w:val="center"/>
              <w:rPr>
                <w:rFonts w:cs="宋体"/>
                <w:sz w:val="24"/>
              </w:rPr>
            </w:pPr>
            <w:r>
              <w:rPr>
                <w:rFonts w:hint="eastAsia" w:cs="宋体"/>
                <w:sz w:val="24"/>
              </w:rPr>
              <w:t>名称</w:t>
            </w:r>
          </w:p>
        </w:tc>
        <w:tc>
          <w:tcPr>
            <w:tcW w:w="4381" w:type="dxa"/>
            <w:tcBorders>
              <w:bottom w:val="single" w:color="auto" w:sz="4" w:space="0"/>
            </w:tcBorders>
            <w:vAlign w:val="center"/>
          </w:tcPr>
          <w:p>
            <w:pPr>
              <w:jc w:val="center"/>
              <w:rPr>
                <w:rFonts w:cs="宋体"/>
                <w:sz w:val="24"/>
              </w:rPr>
            </w:pPr>
            <w:r>
              <w:rPr>
                <w:rFonts w:hint="eastAsia" w:cs="宋体"/>
                <w:sz w:val="24"/>
              </w:rPr>
              <w:t>内容描述</w:t>
            </w:r>
          </w:p>
        </w:tc>
        <w:tc>
          <w:tcPr>
            <w:tcW w:w="1227" w:type="dxa"/>
            <w:tcBorders>
              <w:bottom w:val="single" w:color="auto" w:sz="4" w:space="0"/>
            </w:tcBorders>
            <w:vAlign w:val="center"/>
          </w:tcPr>
          <w:p>
            <w:pPr>
              <w:jc w:val="center"/>
              <w:rPr>
                <w:rFonts w:cs="宋体"/>
                <w:sz w:val="24"/>
              </w:rPr>
            </w:pPr>
            <w:r>
              <w:rPr>
                <w:rFonts w:hint="eastAsia" w:cs="宋体"/>
                <w:sz w:val="24"/>
              </w:rPr>
              <w:t>设备数量/单位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32" w:type="dxa"/>
            <w:vMerge w:val="restart"/>
            <w:tcBorders>
              <w:top w:val="single" w:color="auto" w:sz="4" w:space="0"/>
              <w:left w:val="single" w:color="auto" w:sz="4" w:space="0"/>
              <w:right w:val="single" w:color="auto" w:sz="4" w:space="0"/>
            </w:tcBorders>
            <w:vAlign w:val="center"/>
          </w:tcPr>
          <w:p>
            <w:pPr>
              <w:jc w:val="center"/>
              <w:rPr>
                <w:rFonts w:cs="宋体"/>
                <w:sz w:val="24"/>
              </w:rPr>
            </w:pPr>
            <w:r>
              <w:rPr>
                <w:rFonts w:hint="eastAsia" w:cs="宋体"/>
                <w:sz w:val="24"/>
              </w:rPr>
              <w:t>1</w:t>
            </w:r>
          </w:p>
        </w:tc>
        <w:tc>
          <w:tcPr>
            <w:tcW w:w="1506" w:type="dxa"/>
            <w:vMerge w:val="restart"/>
            <w:tcBorders>
              <w:top w:val="single" w:color="auto" w:sz="4" w:space="0"/>
              <w:left w:val="single" w:color="auto" w:sz="4" w:space="0"/>
              <w:right w:val="single" w:color="auto" w:sz="4" w:space="0"/>
            </w:tcBorders>
            <w:vAlign w:val="center"/>
          </w:tcPr>
          <w:p>
            <w:pPr>
              <w:tabs>
                <w:tab w:val="left" w:pos="2282"/>
              </w:tabs>
              <w:spacing w:line="320" w:lineRule="exact"/>
              <w:jc w:val="center"/>
              <w:rPr>
                <w:sz w:val="24"/>
              </w:rPr>
            </w:pPr>
            <w:r>
              <w:rPr>
                <w:rFonts w:hint="eastAsia"/>
                <w:sz w:val="24"/>
              </w:rPr>
              <w:t>大塔机房搬迁</w:t>
            </w:r>
          </w:p>
        </w:tc>
        <w:tc>
          <w:tcPr>
            <w:tcW w:w="4381" w:type="dxa"/>
            <w:tcBorders>
              <w:top w:val="single" w:color="auto" w:sz="4" w:space="0"/>
              <w:left w:val="single" w:color="auto" w:sz="4" w:space="0"/>
              <w:bottom w:val="single" w:color="auto" w:sz="4" w:space="0"/>
              <w:right w:val="single" w:color="auto" w:sz="4" w:space="0"/>
            </w:tcBorders>
          </w:tcPr>
          <w:p>
            <w:pPr>
              <w:widowControl/>
              <w:spacing w:line="360" w:lineRule="auto"/>
              <w:rPr>
                <w:sz w:val="24"/>
              </w:rPr>
            </w:pPr>
            <w:r>
              <w:rPr>
                <w:rFonts w:hint="eastAsia"/>
                <w:sz w:val="24"/>
              </w:rPr>
              <w:t>需搬迁设备包括：宽带出口系统、DNS系统、缓存系统、网管系统、大电视系统、其他系统平台等设备</w:t>
            </w:r>
          </w:p>
        </w:tc>
        <w:tc>
          <w:tcPr>
            <w:tcW w:w="12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32" w:type="dxa"/>
            <w:vMerge w:val="continue"/>
            <w:tcBorders>
              <w:left w:val="single" w:color="auto" w:sz="4" w:space="0"/>
              <w:bottom w:val="single" w:color="auto" w:sz="4" w:space="0"/>
              <w:right w:val="single" w:color="auto" w:sz="4" w:space="0"/>
            </w:tcBorders>
            <w:vAlign w:val="center"/>
          </w:tcPr>
          <w:p>
            <w:pPr>
              <w:jc w:val="center"/>
              <w:rPr>
                <w:rFonts w:cs="宋体"/>
                <w:sz w:val="24"/>
              </w:rPr>
            </w:pPr>
          </w:p>
        </w:tc>
        <w:tc>
          <w:tcPr>
            <w:tcW w:w="1506" w:type="dxa"/>
            <w:vMerge w:val="continue"/>
            <w:tcBorders>
              <w:left w:val="single" w:color="auto" w:sz="4" w:space="0"/>
              <w:bottom w:val="single" w:color="auto" w:sz="4" w:space="0"/>
              <w:right w:val="single" w:color="auto" w:sz="4" w:space="0"/>
            </w:tcBorders>
            <w:vAlign w:val="center"/>
          </w:tcPr>
          <w:p>
            <w:pPr>
              <w:tabs>
                <w:tab w:val="left" w:pos="2282"/>
              </w:tabs>
              <w:spacing w:line="320" w:lineRule="exact"/>
              <w:jc w:val="center"/>
              <w:rPr>
                <w:bCs/>
              </w:rPr>
            </w:pPr>
          </w:p>
        </w:tc>
        <w:tc>
          <w:tcPr>
            <w:tcW w:w="4381" w:type="dxa"/>
            <w:tcBorders>
              <w:top w:val="single" w:color="auto" w:sz="4" w:space="0"/>
              <w:left w:val="single" w:color="auto" w:sz="4" w:space="0"/>
              <w:bottom w:val="single" w:color="auto" w:sz="4" w:space="0"/>
              <w:right w:val="single" w:color="auto" w:sz="4" w:space="0"/>
            </w:tcBorders>
          </w:tcPr>
          <w:p>
            <w:pPr>
              <w:widowControl/>
              <w:spacing w:line="360" w:lineRule="auto"/>
              <w:rPr>
                <w:sz w:val="24"/>
              </w:rPr>
            </w:pPr>
            <w:r>
              <w:rPr>
                <w:rFonts w:hint="eastAsia"/>
                <w:sz w:val="24"/>
              </w:rPr>
              <w:t>搬迁所需辅材包括：光纤、底座、标签、螺丝、网线等</w:t>
            </w:r>
          </w:p>
        </w:tc>
        <w:tc>
          <w:tcPr>
            <w:tcW w:w="12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1套</w:t>
            </w:r>
          </w:p>
        </w:tc>
      </w:tr>
    </w:tbl>
    <w:p>
      <w:pPr>
        <w:spacing w:line="360" w:lineRule="auto"/>
        <w:ind w:right="508" w:rightChars="242"/>
        <w:rPr>
          <w:rFonts w:ascii="宋体" w:hAnsi="宋体" w:cs="宋体"/>
          <w:b/>
          <w:kern w:val="0"/>
          <w:sz w:val="24"/>
        </w:rPr>
      </w:pPr>
      <w:r>
        <w:rPr>
          <w:rFonts w:hint="eastAsia" w:ascii="宋体" w:hAnsi="宋体" w:cs="宋体"/>
          <w:b/>
          <w:kern w:val="0"/>
          <w:sz w:val="24"/>
        </w:rPr>
        <w:t>二、资格审查方式</w:t>
      </w:r>
    </w:p>
    <w:p>
      <w:pPr>
        <w:spacing w:line="360" w:lineRule="auto"/>
        <w:ind w:right="508" w:rightChars="242"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right="508" w:rightChars="242"/>
      </w:pPr>
      <w:r>
        <w:rPr>
          <w:rFonts w:hint="eastAsia" w:ascii="宋体" w:hAnsi="宋体"/>
          <w:b/>
          <w:sz w:val="24"/>
        </w:rPr>
        <w:t>三、合格供应商的基本资格要求</w:t>
      </w:r>
    </w:p>
    <w:p>
      <w:pPr>
        <w:spacing w:line="360" w:lineRule="auto"/>
        <w:ind w:right="508" w:rightChars="242" w:firstLine="480" w:firstLineChars="200"/>
        <w:jc w:val="left"/>
        <w:rPr>
          <w:rFonts w:ascii="宋体" w:hAnsi="宋体" w:cs="宋体"/>
          <w:kern w:val="0"/>
          <w:sz w:val="24"/>
          <w:szCs w:val="22"/>
        </w:rPr>
      </w:pPr>
      <w:bookmarkStart w:id="3" w:name="_Hlk74838219"/>
      <w:bookmarkStart w:id="4" w:name="_Hlk133411668"/>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3"/>
    <w:p>
      <w:pPr>
        <w:spacing w:line="360" w:lineRule="auto"/>
        <w:ind w:right="508" w:rightChars="242"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w:t>
      </w:r>
      <w:r>
        <w:rPr>
          <w:rFonts w:ascii="宋体" w:hAnsi="宋体" w:cs="宋体"/>
          <w:kern w:val="0"/>
          <w:sz w:val="24"/>
          <w:szCs w:val="22"/>
        </w:rPr>
        <w:t>20</w:t>
      </w:r>
      <w:r>
        <w:rPr>
          <w:rFonts w:hint="eastAsia" w:ascii="宋体" w:hAnsi="宋体" w:cs="宋体"/>
          <w:kern w:val="0"/>
          <w:sz w:val="24"/>
          <w:szCs w:val="22"/>
        </w:rPr>
        <w:t>年1月1日至响应截止日前在国内相关行业实施过类似项目。（提供合同复印件，原件备查）</w:t>
      </w:r>
    </w:p>
    <w:p>
      <w:pPr>
        <w:spacing w:line="360" w:lineRule="auto"/>
        <w:ind w:right="508" w:rightChars="242"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lang w:val="en-US" w:eastAsia="zh-CN"/>
        </w:rPr>
        <w:t>3</w:t>
      </w:r>
      <w:r>
        <w:rPr>
          <w:rFonts w:hint="eastAsia" w:ascii="宋体" w:hAnsi="宋体" w:cs="宋体"/>
          <w:color w:val="191919"/>
          <w:kern w:val="0"/>
          <w:sz w:val="24"/>
          <w:shd w:val="clear" w:color="auto" w:fill="FFFFFF"/>
        </w:rPr>
        <w:t>.供应商须提供对本项目直接保修和服务的承诺。</w:t>
      </w:r>
    </w:p>
    <w:p>
      <w:pPr>
        <w:spacing w:line="360" w:lineRule="auto"/>
        <w:ind w:right="508" w:rightChars="242" w:firstLine="480" w:firstLineChars="200"/>
        <w:jc w:val="left"/>
        <w:rPr>
          <w:rFonts w:ascii="宋体" w:hAnsi="宋体" w:cs="宋体"/>
          <w:kern w:val="0"/>
          <w:sz w:val="24"/>
          <w:szCs w:val="22"/>
        </w:rPr>
      </w:pPr>
      <w:r>
        <w:rPr>
          <w:rFonts w:hint="eastAsia" w:ascii="宋体" w:hAnsi="宋体" w:cs="宋体"/>
          <w:kern w:val="0"/>
          <w:sz w:val="24"/>
          <w:szCs w:val="22"/>
          <w:lang w:val="en-US" w:eastAsia="zh-CN"/>
        </w:rPr>
        <w:t>4</w:t>
      </w:r>
      <w:r>
        <w:rPr>
          <w:rFonts w:hint="eastAsia" w:ascii="宋体" w:hAnsi="宋体" w:cs="宋体"/>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right="508" w:rightChars="242" w:firstLine="480" w:firstLineChars="200"/>
        <w:jc w:val="left"/>
        <w:rPr>
          <w:rFonts w:ascii="宋体" w:hAnsi="宋体" w:cs="宋体"/>
          <w:kern w:val="0"/>
          <w:sz w:val="24"/>
          <w:szCs w:val="22"/>
        </w:rPr>
      </w:pPr>
      <w:r>
        <w:rPr>
          <w:rFonts w:hint="eastAsia" w:ascii="宋体" w:hAnsi="宋体" w:cs="宋体"/>
          <w:kern w:val="0"/>
          <w:sz w:val="24"/>
          <w:szCs w:val="22"/>
          <w:lang w:val="en-US" w:eastAsia="zh-CN"/>
        </w:rPr>
        <w:t>5</w:t>
      </w:r>
      <w:r>
        <w:rPr>
          <w:rFonts w:hint="eastAsia" w:ascii="宋体" w:hAnsi="宋体" w:cs="宋体"/>
          <w:kern w:val="0"/>
          <w:sz w:val="24"/>
          <w:szCs w:val="22"/>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right="508" w:rightChars="242" w:firstLine="480" w:firstLineChars="200"/>
        <w:jc w:val="left"/>
        <w:rPr>
          <w:rFonts w:ascii="宋体" w:hAnsi="宋体" w:cs="宋体"/>
          <w:kern w:val="0"/>
          <w:sz w:val="24"/>
          <w:szCs w:val="22"/>
        </w:rPr>
      </w:pPr>
      <w:r>
        <w:rPr>
          <w:rFonts w:hint="eastAsia" w:ascii="宋体" w:hAnsi="宋体" w:cs="宋体"/>
          <w:kern w:val="0"/>
          <w:sz w:val="24"/>
          <w:szCs w:val="22"/>
          <w:lang w:val="en-US" w:eastAsia="zh-CN"/>
        </w:rPr>
        <w:t>6</w:t>
      </w:r>
      <w:r>
        <w:rPr>
          <w:rFonts w:hint="eastAsia" w:ascii="宋体" w:hAnsi="宋体" w:cs="宋体"/>
          <w:kern w:val="0"/>
          <w:sz w:val="24"/>
          <w:szCs w:val="22"/>
        </w:rPr>
        <w:t>.供应商单位负责人为同一人或者存在直接控股、管理关系的不同供应商，不得参加同一标段谈判或者未划分标段的同一采购项目谈判。</w:t>
      </w:r>
    </w:p>
    <w:p>
      <w:pPr>
        <w:spacing w:line="360" w:lineRule="auto"/>
        <w:ind w:right="508" w:rightChars="242" w:firstLine="480" w:firstLineChars="200"/>
        <w:jc w:val="left"/>
      </w:pPr>
      <w:r>
        <w:rPr>
          <w:rFonts w:hint="eastAsia" w:ascii="宋体" w:hAnsi="宋体" w:cs="宋体"/>
          <w:kern w:val="0"/>
          <w:sz w:val="24"/>
          <w:szCs w:val="22"/>
          <w:lang w:val="en-US" w:eastAsia="zh-CN"/>
        </w:rPr>
        <w:t>7</w:t>
      </w:r>
      <w:r>
        <w:rPr>
          <w:rFonts w:hint="eastAsia" w:ascii="宋体" w:hAnsi="宋体" w:cs="宋体"/>
          <w:kern w:val="0"/>
          <w:sz w:val="24"/>
          <w:szCs w:val="22"/>
        </w:rPr>
        <w:t>.法定代表人为同一个人的两个及两个以上法人，母公司与全资子公司/由其控股的子公司，不得同时参与本项目</w:t>
      </w:r>
      <w:r>
        <w:rPr>
          <w:rFonts w:ascii="宋体" w:hAnsi="宋体" w:cs="宋体"/>
          <w:kern w:val="0"/>
          <w:sz w:val="24"/>
          <w:szCs w:val="22"/>
        </w:rPr>
        <w:t>。</w:t>
      </w:r>
    </w:p>
    <w:p>
      <w:pPr>
        <w:spacing w:line="360" w:lineRule="auto"/>
        <w:ind w:right="508" w:rightChars="242" w:firstLine="480" w:firstLineChars="200"/>
        <w:rPr>
          <w:rFonts w:ascii="宋体" w:hAnsi="宋体" w:cs="宋体"/>
          <w:kern w:val="0"/>
          <w:sz w:val="24"/>
          <w:szCs w:val="22"/>
        </w:rPr>
      </w:pPr>
      <w:r>
        <w:rPr>
          <w:rFonts w:hint="eastAsia" w:ascii="宋体" w:hAnsi="宋体" w:cs="宋体"/>
          <w:kern w:val="0"/>
          <w:sz w:val="24"/>
          <w:szCs w:val="22"/>
          <w:lang w:val="en-US" w:eastAsia="zh-CN"/>
        </w:rPr>
        <w:t>8</w:t>
      </w:r>
      <w:r>
        <w:rPr>
          <w:rFonts w:hint="eastAsia" w:ascii="宋体" w:hAnsi="宋体" w:cs="宋体"/>
          <w:kern w:val="0"/>
          <w:sz w:val="24"/>
          <w:szCs w:val="22"/>
        </w:rPr>
        <w:t>.本项目不接受联合体响应。</w:t>
      </w:r>
      <w:bookmarkEnd w:id="4"/>
    </w:p>
    <w:p>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pPr>
        <w:widowControl/>
        <w:spacing w:line="360" w:lineRule="auto"/>
        <w:ind w:firstLine="420"/>
        <w:jc w:val="left"/>
        <w:rPr>
          <w:rFonts w:ascii="宋体" w:hAnsi="宋体" w:cs="宋体"/>
          <w:color w:val="000000"/>
          <w:kern w:val="0"/>
          <w:sz w:val="24"/>
          <w:shd w:val="clear" w:color="auto" w:fill="FFFFFF"/>
        </w:rPr>
      </w:pPr>
      <w:bookmarkStart w:id="5" w:name="_Hlk140565123"/>
      <w:bookmarkStart w:id="6" w:name="_Hlk149739994"/>
      <w:r>
        <w:rPr>
          <w:rFonts w:hint="eastAsia" w:ascii="宋体" w:hAnsi="宋体" w:cs="宋体"/>
          <w:color w:val="000000"/>
          <w:kern w:val="0"/>
          <w:sz w:val="24"/>
          <w:shd w:val="clear" w:color="auto" w:fill="FFFFFF"/>
        </w:rPr>
        <w:t>发布及登记时间：</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年5</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10日至202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w:t>
      </w:r>
      <w:bookmarkStart w:id="7" w:name="_Hlk149571562"/>
      <w:r>
        <w:rPr>
          <w:rFonts w:ascii="宋体" w:hAnsi="宋体" w:cs="宋体"/>
          <w:color w:val="000000"/>
          <w:kern w:val="0"/>
          <w:sz w:val="24"/>
          <w:shd w:val="clear" w:color="auto" w:fill="FFFFFF"/>
        </w:rPr>
        <w:t>5</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15日</w:t>
      </w:r>
      <w:bookmarkEnd w:id="7"/>
      <w:r>
        <w:rPr>
          <w:rFonts w:ascii="宋体" w:hAnsi="宋体" w:cs="宋体"/>
          <w:color w:val="000000"/>
          <w:kern w:val="0"/>
          <w:sz w:val="24"/>
          <w:shd w:val="clear" w:color="auto" w:fill="FFFFFF"/>
        </w:rPr>
        <w:t>止，每日上午9：00-12：00，下午14：00-17：00（北京时间）。</w:t>
      </w:r>
    </w:p>
    <w:p>
      <w:pPr>
        <w:widowControl/>
        <w:spacing w:line="360" w:lineRule="auto"/>
        <w:ind w:firstLine="420"/>
        <w:jc w:val="left"/>
        <w:rPr>
          <w:rFonts w:ascii="宋体" w:hAnsi="宋体" w:cs="宋体"/>
          <w:color w:val="000000"/>
          <w:kern w:val="0"/>
          <w:sz w:val="24"/>
          <w:shd w:val="clear" w:color="auto" w:fill="FFFFFF"/>
        </w:rPr>
      </w:pPr>
      <w:bookmarkStart w:id="8" w:name="_Hlk140238335"/>
      <w:r>
        <w:rPr>
          <w:rFonts w:hint="eastAsia" w:ascii="宋体" w:hAnsi="宋体" w:cs="宋体"/>
          <w:color w:val="000000"/>
          <w:kern w:val="0"/>
          <w:sz w:val="24"/>
          <w:shd w:val="clear" w:color="auto" w:fill="FFFFFF"/>
        </w:rPr>
        <w:t>发放方式：竞争性谈判文件在报名后自行下载。</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登记方式：请响应人将该项目负责人姓名、联系电话（手机）、联系信箱发至采购人该项目联系人（参考竞争性谈判文件第七章响应确认信息表），同时附营业执照扫描件和法定代表人授权委托函，发至</w:t>
      </w:r>
      <w:r>
        <w:rPr>
          <w:rFonts w:hint="eastAsia" w:ascii="宋体" w:hAnsi="宋体" w:cs="宋体"/>
          <w:color w:val="000000"/>
          <w:kern w:val="0"/>
          <w:sz w:val="24"/>
        </w:rPr>
        <w:t>邮箱</w:t>
      </w:r>
      <w:r>
        <w:rPr>
          <w:rFonts w:ascii="宋体" w:hAnsi="宋体" w:cs="宋体"/>
          <w:color w:val="000000"/>
          <w:kern w:val="0"/>
          <w:sz w:val="24"/>
        </w:rPr>
        <w:t>lijing@jscnnet.com</w:t>
      </w:r>
      <w:r>
        <w:rPr>
          <w:rFonts w:hint="eastAsia" w:ascii="宋体" w:hAnsi="宋体" w:cs="宋体"/>
          <w:color w:val="000000"/>
          <w:kern w:val="0"/>
          <w:sz w:val="24"/>
          <w:shd w:val="clear" w:color="auto" w:fill="FFFFFF"/>
        </w:rPr>
        <w:t>，未在文件发放日内完成登记的不得参与本项目，超过</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年5</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15</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下午17:00再登记的视为无效。</w:t>
      </w:r>
      <w:bookmarkEnd w:id="8"/>
    </w:p>
    <w:p>
      <w:pPr>
        <w:widowControl/>
        <w:spacing w:line="360" w:lineRule="auto"/>
        <w:ind w:firstLine="420"/>
        <w:jc w:val="left"/>
        <w:rPr>
          <w:rFonts w:ascii="宋体" w:hAnsi="宋体" w:cs="宋体"/>
          <w:color w:val="000000"/>
          <w:kern w:val="0"/>
          <w:sz w:val="24"/>
        </w:rPr>
      </w:pPr>
      <w:r>
        <w:rPr>
          <w:rFonts w:hint="eastAsia" w:ascii="宋体" w:hAnsi="宋体" w:cs="宋体"/>
          <w:color w:val="000000"/>
          <w:kern w:val="0"/>
          <w:sz w:val="24"/>
          <w:shd w:val="clear" w:color="auto" w:fill="FFFFFF"/>
        </w:rPr>
        <w:t>项目联系人：李晶（025-8</w:t>
      </w:r>
      <w:r>
        <w:rPr>
          <w:rFonts w:ascii="宋体" w:hAnsi="宋体" w:cs="宋体"/>
          <w:color w:val="000000"/>
          <w:kern w:val="0"/>
          <w:sz w:val="24"/>
          <w:shd w:val="clear" w:color="auto" w:fill="FFFFFF"/>
        </w:rPr>
        <w:t>72</w:t>
      </w:r>
      <w:r>
        <w:rPr>
          <w:rFonts w:ascii="宋体" w:hAnsi="宋体" w:cs="宋体"/>
          <w:color w:val="000000"/>
          <w:kern w:val="0"/>
          <w:sz w:val="24"/>
        </w:rPr>
        <w:t>31692）</w:t>
      </w:r>
    </w:p>
    <w:p>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递交竞争性谈判响应文件截止时间：2024年</w:t>
      </w:r>
      <w:r>
        <w:rPr>
          <w:rFonts w:ascii="宋体" w:hAnsi="宋体" w:cs="宋体"/>
          <w:color w:val="000000"/>
          <w:kern w:val="0"/>
          <w:sz w:val="24"/>
          <w:shd w:val="clear" w:color="auto" w:fill="FFFFFF"/>
        </w:rPr>
        <w:t>5</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17</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14</w:t>
      </w:r>
      <w:r>
        <w:rPr>
          <w:rFonts w:eastAsia="微软雅黑"/>
          <w:color w:val="000000"/>
          <w:kern w:val="0"/>
          <w:sz w:val="24"/>
          <w:shd w:val="clear" w:color="auto" w:fill="FFFFFF"/>
        </w:rPr>
        <w:t>:</w:t>
      </w:r>
      <w:r>
        <w:rPr>
          <w:rFonts w:hint="eastAsia" w:ascii="宋体" w:hAnsi="宋体" w:cs="宋体"/>
          <w:color w:val="000000"/>
          <w:kern w:val="0"/>
          <w:sz w:val="24"/>
          <w:shd w:val="clear" w:color="auto" w:fill="FFFFFF"/>
        </w:rPr>
        <w:t>0</w:t>
      </w:r>
      <w:r>
        <w:rPr>
          <w:rFonts w:ascii="宋体" w:hAnsi="宋体" w:cs="宋体"/>
          <w:color w:val="000000"/>
          <w:kern w:val="0"/>
          <w:sz w:val="24"/>
          <w:shd w:val="clear" w:color="auto" w:fill="FFFFFF"/>
        </w:rPr>
        <w:t>0</w:t>
      </w:r>
      <w:r>
        <w:rPr>
          <w:rFonts w:hint="eastAsia" w:ascii="宋体" w:hAnsi="宋体" w:cs="宋体"/>
          <w:color w:val="000000"/>
          <w:kern w:val="0"/>
          <w:sz w:val="24"/>
          <w:shd w:val="clear" w:color="auto" w:fill="FFFFFF"/>
        </w:rPr>
        <w:t>，逾期收到或不按照竞争性谈判文件要求密封的响应文件恕不接受。</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响应文件接收人：李晶（025-8</w:t>
      </w:r>
      <w:r>
        <w:rPr>
          <w:rFonts w:ascii="宋体" w:hAnsi="宋体" w:cs="宋体"/>
          <w:color w:val="000000"/>
          <w:kern w:val="0"/>
          <w:sz w:val="24"/>
          <w:shd w:val="clear" w:color="auto" w:fill="FFFFFF"/>
        </w:rPr>
        <w:t>72</w:t>
      </w:r>
      <w:r>
        <w:rPr>
          <w:rFonts w:ascii="宋体" w:hAnsi="宋体" w:cs="宋体"/>
          <w:color w:val="000000"/>
          <w:kern w:val="0"/>
          <w:sz w:val="24"/>
        </w:rPr>
        <w:t>31692）。</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竞争性谈判时间：2024年</w:t>
      </w:r>
      <w:r>
        <w:rPr>
          <w:rFonts w:ascii="宋体" w:hAnsi="宋体" w:cs="宋体"/>
          <w:color w:val="000000"/>
          <w:kern w:val="0"/>
          <w:sz w:val="24"/>
          <w:shd w:val="clear" w:color="auto" w:fill="FFFFFF"/>
        </w:rPr>
        <w:t>5</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17</w:t>
      </w:r>
      <w:r>
        <w:rPr>
          <w:rFonts w:hint="eastAsia" w:ascii="宋体" w:hAnsi="宋体" w:cs="宋体"/>
          <w:color w:val="000000"/>
          <w:kern w:val="0"/>
          <w:sz w:val="24"/>
          <w:shd w:val="clear" w:color="auto" w:fill="FFFFFF"/>
        </w:rPr>
        <w:t>日14:30。</w:t>
      </w:r>
      <w:bookmarkEnd w:id="5"/>
    </w:p>
    <w:bookmarkEnd w:id="6"/>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楼会议室。</w:t>
      </w:r>
    </w:p>
    <w:p>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pPr>
        <w:widowControl/>
        <w:spacing w:line="360" w:lineRule="auto"/>
        <w:ind w:firstLine="420"/>
        <w:rPr>
          <w:color w:val="000000"/>
          <w:kern w:val="0"/>
          <w:sz w:val="24"/>
          <w:shd w:val="clear" w:color="auto" w:fill="FFFFFF"/>
        </w:rPr>
      </w:pPr>
      <w:r>
        <w:rPr>
          <w:rFonts w:hint="eastAsia"/>
          <w:color w:val="000000"/>
          <w:kern w:val="0"/>
          <w:sz w:val="24"/>
          <w:shd w:val="clear" w:color="auto" w:fill="FFFFFF"/>
        </w:rPr>
        <w:t>本次采购公告同时在江苏省广电有线信息网络股份有限公司官网（www.jscnnet.com）“招标采购”栏目及中国招标投标公共服务平台（http://www.cebpubservice.com/）上发布，其他媒介转载需注明出处</w:t>
      </w:r>
      <w:r>
        <w:rPr>
          <w:color w:val="000000"/>
          <w:kern w:val="0"/>
          <w:sz w:val="24"/>
          <w:shd w:val="clear" w:color="auto" w:fill="FFFFFF"/>
        </w:rPr>
        <w:t>。</w:t>
      </w:r>
    </w:p>
    <w:p>
      <w:pPr>
        <w:spacing w:line="360" w:lineRule="auto"/>
        <w:rPr>
          <w:rFonts w:ascii="宋体" w:hAnsi="宋体" w:cs="宋体"/>
          <w:b/>
          <w:color w:val="000000"/>
          <w:kern w:val="0"/>
          <w:sz w:val="24"/>
        </w:rPr>
      </w:pPr>
      <w:r>
        <w:rPr>
          <w:rFonts w:hint="eastAsia" w:ascii="宋体" w:hAnsi="宋体" w:cs="宋体"/>
          <w:b/>
          <w:color w:val="000000"/>
          <w:kern w:val="0"/>
          <w:sz w:val="24"/>
        </w:rPr>
        <w:t>七、其他说明事项</w:t>
      </w:r>
    </w:p>
    <w:p>
      <w:pPr>
        <w:spacing w:line="360" w:lineRule="auto"/>
        <w:ind w:firstLine="480" w:firstLineChars="200"/>
        <w:rPr>
          <w:rFonts w:hint="eastAsia" w:ascii="宋体" w:cs="宋体"/>
          <w:bCs/>
          <w:color w:val="000000"/>
          <w:sz w:val="24"/>
        </w:rPr>
      </w:pPr>
      <w:r>
        <w:rPr>
          <w:rFonts w:hint="eastAsia" w:ascii="宋体" w:cs="宋体"/>
          <w:bCs/>
          <w:color w:val="000000"/>
          <w:sz w:val="24"/>
        </w:rPr>
        <w:t>有关本次谈判的事项若存在变动或修改，敬请及时关注网上发布的信息更正公告</w:t>
      </w:r>
      <w:bookmarkStart w:id="9" w:name="bookmark1"/>
      <w:bookmarkEnd w:id="9"/>
      <w:r>
        <w:rPr>
          <w:rFonts w:hint="eastAsia" w:ascii="宋体" w:cs="宋体"/>
          <w:bCs/>
          <w:color w:val="000000"/>
          <w:sz w:val="24"/>
        </w:rPr>
        <w:t>。</w:t>
      </w:r>
    </w:p>
    <w:p>
      <w:pPr>
        <w:spacing w:line="360" w:lineRule="auto"/>
        <w:ind w:firstLine="480" w:firstLineChars="200"/>
        <w:rPr>
          <w:rFonts w:hint="eastAsia" w:ascii="宋体" w:cs="宋体"/>
          <w:bCs/>
          <w:color w:val="000000"/>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r>
        <w:rPr>
          <w:rFonts w:hint="eastAsia" w:ascii="宋体" w:hAnsi="宋体"/>
          <w:sz w:val="24"/>
        </w:rPr>
        <w:t>江苏省广电有线信息网络股份有限公司</w:t>
      </w:r>
    </w:p>
    <w:p>
      <w:pPr>
        <w:spacing w:line="360" w:lineRule="auto"/>
        <w:jc w:val="right"/>
        <w:rPr>
          <w:rFonts w:hint="default" w:eastAsia="宋体"/>
          <w:lang w:val="en-US" w:eastAsia="zh-CN"/>
        </w:rPr>
      </w:pPr>
      <w:r>
        <w:rPr>
          <w:rFonts w:hint="eastAsia" w:ascii="宋体" w:hAnsi="宋体" w:eastAsia="宋体" w:cs="Times New Roman"/>
          <w:b w:val="0"/>
          <w:kern w:val="2"/>
          <w:sz w:val="24"/>
          <w:szCs w:val="24"/>
          <w:lang w:val="en-US" w:eastAsia="zh-CN" w:bidi="ar-SA"/>
        </w:rPr>
        <w:t>2024年5月10日</w:t>
      </w: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
    <w:p>
      <w:pPr>
        <w:jc w:val="left"/>
        <w:rPr>
          <w:sz w:val="24"/>
        </w:rPr>
      </w:pPr>
    </w:p>
    <w:p>
      <w:pPr>
        <w:jc w:val="left"/>
        <w:rPr>
          <w:sz w:val="24"/>
        </w:rPr>
      </w:pPr>
    </w:p>
    <w:p>
      <w:pPr>
        <w:jc w:val="left"/>
        <w:rPr>
          <w:sz w:val="24"/>
        </w:rPr>
      </w:pPr>
    </w:p>
    <w:p/>
    <w:p/>
    <w:p/>
    <w:p/>
    <w:p/>
    <w:p/>
    <w:p/>
    <w:p/>
    <w:p/>
    <w:p/>
    <w:p/>
    <w:p/>
    <w:p>
      <w:pPr>
        <w:widowControl/>
        <w:autoSpaceDE w:val="0"/>
        <w:autoSpaceDN w:val="0"/>
        <w:adjustRightInd w:val="0"/>
        <w:snapToGrid w:val="0"/>
        <w:spacing w:line="360" w:lineRule="auto"/>
        <w:ind w:firstLine="480" w:firstLineChars="200"/>
        <w:jc w:val="center"/>
        <w:textAlignment w:val="bottom"/>
        <w:rPr>
          <w:sz w:val="24"/>
        </w:rPr>
      </w:pPr>
    </w:p>
    <w:p>
      <w:pPr>
        <w:pStyle w:val="66"/>
        <w:jc w:val="center"/>
      </w:pPr>
      <w:bookmarkStart w:id="10" w:name="_Toc166247620"/>
      <w:r>
        <w:rPr>
          <w:rFonts w:hint="eastAsia"/>
        </w:rPr>
        <w:t>第二章竞争性谈判</w:t>
      </w:r>
      <w:r>
        <w:t>须知</w:t>
      </w:r>
      <w:bookmarkEnd w:id="10"/>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24"/>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0"/>
        <w:gridCol w:w="838"/>
        <w:gridCol w:w="1349"/>
        <w:gridCol w:w="6037"/>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356" w:type="pct"/>
            <w:tcBorders>
              <w:top w:val="single" w:color="auto" w:sz="6" w:space="0"/>
            </w:tcBorders>
            <w:vAlign w:val="center"/>
          </w:tcPr>
          <w:p>
            <w:pPr>
              <w:jc w:val="center"/>
              <w:rPr>
                <w:b/>
                <w:sz w:val="24"/>
              </w:rPr>
            </w:pPr>
            <w:r>
              <w:rPr>
                <w:rFonts w:hint="eastAsia"/>
                <w:b/>
                <w:sz w:val="24"/>
              </w:rPr>
              <w:t>序号</w:t>
            </w:r>
          </w:p>
        </w:tc>
        <w:tc>
          <w:tcPr>
            <w:tcW w:w="473" w:type="pct"/>
            <w:tcBorders>
              <w:top w:val="single" w:color="auto" w:sz="6" w:space="0"/>
            </w:tcBorders>
            <w:vAlign w:val="center"/>
          </w:tcPr>
          <w:p>
            <w:pPr>
              <w:jc w:val="center"/>
              <w:rPr>
                <w:b/>
                <w:sz w:val="24"/>
              </w:rPr>
            </w:pPr>
            <w:r>
              <w:rPr>
                <w:rFonts w:hint="eastAsia"/>
                <w:b/>
                <w:sz w:val="24"/>
              </w:rPr>
              <w:t>条款号</w:t>
            </w:r>
          </w:p>
        </w:tc>
        <w:tc>
          <w:tcPr>
            <w:tcW w:w="762" w:type="pct"/>
            <w:tcBorders>
              <w:top w:val="single" w:color="auto" w:sz="6" w:space="0"/>
            </w:tcBorders>
            <w:vAlign w:val="center"/>
          </w:tcPr>
          <w:p>
            <w:pPr>
              <w:jc w:val="center"/>
              <w:rPr>
                <w:b/>
                <w:sz w:val="24"/>
              </w:rPr>
            </w:pPr>
            <w:r>
              <w:rPr>
                <w:rFonts w:hint="eastAsia"/>
                <w:b/>
                <w:sz w:val="24"/>
              </w:rPr>
              <w:t>内容</w:t>
            </w:r>
          </w:p>
        </w:tc>
        <w:tc>
          <w:tcPr>
            <w:tcW w:w="3409"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w:t>
            </w:r>
          </w:p>
        </w:tc>
        <w:tc>
          <w:tcPr>
            <w:tcW w:w="473" w:type="pct"/>
            <w:vAlign w:val="center"/>
          </w:tcPr>
          <w:p>
            <w:pPr>
              <w:jc w:val="center"/>
              <w:rPr>
                <w:sz w:val="24"/>
              </w:rPr>
            </w:pPr>
            <w:r>
              <w:rPr>
                <w:sz w:val="24"/>
              </w:rPr>
              <w:t>1.1</w:t>
            </w:r>
          </w:p>
        </w:tc>
        <w:tc>
          <w:tcPr>
            <w:tcW w:w="762" w:type="pct"/>
            <w:vAlign w:val="center"/>
          </w:tcPr>
          <w:p>
            <w:pPr>
              <w:jc w:val="center"/>
              <w:rPr>
                <w:sz w:val="24"/>
              </w:rPr>
            </w:pPr>
            <w:r>
              <w:rPr>
                <w:rFonts w:hint="eastAsia"/>
                <w:sz w:val="24"/>
              </w:rPr>
              <w:t>采购人</w:t>
            </w:r>
          </w:p>
        </w:tc>
        <w:tc>
          <w:tcPr>
            <w:tcW w:w="3409"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2</w:t>
            </w:r>
          </w:p>
        </w:tc>
        <w:tc>
          <w:tcPr>
            <w:tcW w:w="473" w:type="pct"/>
            <w:vAlign w:val="center"/>
          </w:tcPr>
          <w:p>
            <w:pPr>
              <w:jc w:val="center"/>
              <w:rPr>
                <w:sz w:val="24"/>
              </w:rPr>
            </w:pPr>
            <w:r>
              <w:rPr>
                <w:sz w:val="24"/>
              </w:rPr>
              <w:t>1.2</w:t>
            </w:r>
          </w:p>
        </w:tc>
        <w:tc>
          <w:tcPr>
            <w:tcW w:w="762" w:type="pct"/>
            <w:vAlign w:val="center"/>
          </w:tcPr>
          <w:p>
            <w:pPr>
              <w:jc w:val="center"/>
              <w:rPr>
                <w:sz w:val="24"/>
              </w:rPr>
            </w:pPr>
            <w:r>
              <w:rPr>
                <w:rFonts w:hint="eastAsia"/>
                <w:sz w:val="24"/>
              </w:rPr>
              <w:t>代理机构</w:t>
            </w:r>
          </w:p>
        </w:tc>
        <w:tc>
          <w:tcPr>
            <w:tcW w:w="3409"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56" w:type="pct"/>
            <w:vAlign w:val="center"/>
          </w:tcPr>
          <w:p>
            <w:pPr>
              <w:jc w:val="center"/>
              <w:rPr>
                <w:sz w:val="24"/>
              </w:rPr>
            </w:pPr>
            <w:r>
              <w:rPr>
                <w:sz w:val="24"/>
              </w:rPr>
              <w:t>3</w:t>
            </w:r>
          </w:p>
        </w:tc>
        <w:tc>
          <w:tcPr>
            <w:tcW w:w="473" w:type="pct"/>
            <w:vAlign w:val="center"/>
          </w:tcPr>
          <w:p>
            <w:pPr>
              <w:jc w:val="center"/>
              <w:rPr>
                <w:sz w:val="24"/>
              </w:rPr>
            </w:pPr>
            <w:r>
              <w:rPr>
                <w:sz w:val="24"/>
              </w:rPr>
              <w:t>1.3</w:t>
            </w:r>
          </w:p>
        </w:tc>
        <w:tc>
          <w:tcPr>
            <w:tcW w:w="762" w:type="pct"/>
            <w:vAlign w:val="center"/>
          </w:tcPr>
          <w:p>
            <w:pPr>
              <w:jc w:val="center"/>
              <w:rPr>
                <w:sz w:val="24"/>
              </w:rPr>
            </w:pPr>
            <w:r>
              <w:rPr>
                <w:rFonts w:hint="eastAsia"/>
                <w:sz w:val="24"/>
              </w:rPr>
              <w:t>合格的供应商</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4</w:t>
            </w:r>
          </w:p>
        </w:tc>
        <w:tc>
          <w:tcPr>
            <w:tcW w:w="473" w:type="pct"/>
            <w:vAlign w:val="center"/>
          </w:tcPr>
          <w:p>
            <w:pPr>
              <w:jc w:val="center"/>
              <w:rPr>
                <w:sz w:val="24"/>
              </w:rPr>
            </w:pPr>
            <w:r>
              <w:rPr>
                <w:sz w:val="24"/>
              </w:rPr>
              <w:t>20.1</w:t>
            </w:r>
          </w:p>
        </w:tc>
        <w:tc>
          <w:tcPr>
            <w:tcW w:w="762" w:type="pct"/>
            <w:vAlign w:val="center"/>
          </w:tcPr>
          <w:p>
            <w:pPr>
              <w:jc w:val="center"/>
              <w:rPr>
                <w:sz w:val="24"/>
              </w:rPr>
            </w:pPr>
            <w:r>
              <w:rPr>
                <w:rFonts w:hint="eastAsia"/>
                <w:sz w:val="24"/>
              </w:rPr>
              <w:t>保密</w:t>
            </w:r>
          </w:p>
        </w:tc>
        <w:tc>
          <w:tcPr>
            <w:tcW w:w="3409"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356" w:type="pct"/>
            <w:vAlign w:val="center"/>
          </w:tcPr>
          <w:p>
            <w:pPr>
              <w:jc w:val="center"/>
              <w:rPr>
                <w:sz w:val="24"/>
              </w:rPr>
            </w:pPr>
            <w:r>
              <w:rPr>
                <w:sz w:val="24"/>
              </w:rPr>
              <w:t>5</w:t>
            </w:r>
          </w:p>
        </w:tc>
        <w:tc>
          <w:tcPr>
            <w:tcW w:w="473" w:type="pct"/>
            <w:vAlign w:val="center"/>
          </w:tcPr>
          <w:p>
            <w:pPr>
              <w:jc w:val="center"/>
              <w:rPr>
                <w:sz w:val="24"/>
              </w:rPr>
            </w:pPr>
            <w:r>
              <w:rPr>
                <w:sz w:val="24"/>
              </w:rPr>
              <w:t>7.1</w:t>
            </w:r>
          </w:p>
          <w:p>
            <w:pPr>
              <w:jc w:val="center"/>
              <w:rPr>
                <w:sz w:val="24"/>
              </w:rPr>
            </w:pPr>
            <w:r>
              <w:rPr>
                <w:rFonts w:hint="eastAsia"/>
                <w:sz w:val="24"/>
              </w:rPr>
              <w:t>2）</w:t>
            </w:r>
          </w:p>
        </w:tc>
        <w:tc>
          <w:tcPr>
            <w:tcW w:w="762" w:type="pct"/>
            <w:vAlign w:val="center"/>
          </w:tcPr>
          <w:p>
            <w:pPr>
              <w:jc w:val="center"/>
              <w:rPr>
                <w:sz w:val="24"/>
              </w:rPr>
            </w:pPr>
            <w:r>
              <w:rPr>
                <w:rFonts w:hint="eastAsia"/>
                <w:sz w:val="24"/>
              </w:rPr>
              <w:t>经第三方审计的财务报表</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6</w:t>
            </w:r>
          </w:p>
        </w:tc>
        <w:tc>
          <w:tcPr>
            <w:tcW w:w="473" w:type="pct"/>
            <w:vAlign w:val="center"/>
          </w:tcPr>
          <w:p>
            <w:pPr>
              <w:jc w:val="center"/>
              <w:rPr>
                <w:sz w:val="24"/>
              </w:rPr>
            </w:pPr>
            <w:r>
              <w:rPr>
                <w:sz w:val="24"/>
              </w:rPr>
              <w:t>7.1</w:t>
            </w:r>
          </w:p>
          <w:p>
            <w:pPr>
              <w:jc w:val="center"/>
              <w:rPr>
                <w:sz w:val="24"/>
              </w:rPr>
            </w:pPr>
            <w:r>
              <w:rPr>
                <w:rFonts w:hint="eastAsia"/>
                <w:sz w:val="24"/>
              </w:rPr>
              <w:t>3）</w:t>
            </w:r>
          </w:p>
        </w:tc>
        <w:tc>
          <w:tcPr>
            <w:tcW w:w="762" w:type="pct"/>
            <w:vAlign w:val="center"/>
          </w:tcPr>
          <w:p>
            <w:pPr>
              <w:jc w:val="center"/>
              <w:rPr>
                <w:sz w:val="24"/>
              </w:rPr>
            </w:pPr>
            <w:r>
              <w:rPr>
                <w:rFonts w:hint="eastAsia"/>
                <w:sz w:val="24"/>
              </w:rPr>
              <w:t>响应文件的技术部分中必须包括的内容</w:t>
            </w:r>
          </w:p>
        </w:tc>
        <w:tc>
          <w:tcPr>
            <w:tcW w:w="3409" w:type="pct"/>
          </w:tcPr>
          <w:p>
            <w:pPr>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7</w:t>
            </w:r>
          </w:p>
        </w:tc>
        <w:tc>
          <w:tcPr>
            <w:tcW w:w="473" w:type="pct"/>
            <w:vAlign w:val="center"/>
          </w:tcPr>
          <w:p>
            <w:pPr>
              <w:jc w:val="center"/>
              <w:rPr>
                <w:sz w:val="24"/>
              </w:rPr>
            </w:pPr>
            <w:r>
              <w:rPr>
                <w:sz w:val="24"/>
              </w:rPr>
              <w:t>7.1</w:t>
            </w:r>
          </w:p>
          <w:p>
            <w:pPr>
              <w:jc w:val="center"/>
              <w:rPr>
                <w:sz w:val="24"/>
              </w:rPr>
            </w:pPr>
            <w:r>
              <w:rPr>
                <w:rFonts w:hint="eastAsia"/>
                <w:sz w:val="24"/>
              </w:rPr>
              <w:t>6）</w:t>
            </w:r>
          </w:p>
        </w:tc>
        <w:tc>
          <w:tcPr>
            <w:tcW w:w="762" w:type="pct"/>
            <w:vAlign w:val="center"/>
          </w:tcPr>
          <w:p>
            <w:pPr>
              <w:jc w:val="center"/>
              <w:rPr>
                <w:sz w:val="24"/>
              </w:rPr>
            </w:pPr>
            <w:r>
              <w:rPr>
                <w:rFonts w:hint="eastAsia"/>
                <w:sz w:val="24"/>
              </w:rPr>
              <w:t>合同文本的提供</w:t>
            </w:r>
          </w:p>
        </w:tc>
        <w:tc>
          <w:tcPr>
            <w:tcW w:w="3409" w:type="pct"/>
            <w:vAlign w:val="center"/>
          </w:tcPr>
          <w:p>
            <w:pPr>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8</w:t>
            </w:r>
          </w:p>
        </w:tc>
        <w:tc>
          <w:tcPr>
            <w:tcW w:w="473" w:type="pct"/>
            <w:vAlign w:val="center"/>
          </w:tcPr>
          <w:p>
            <w:pPr>
              <w:jc w:val="center"/>
              <w:rPr>
                <w:sz w:val="24"/>
              </w:rPr>
            </w:pPr>
            <w:r>
              <w:rPr>
                <w:sz w:val="24"/>
              </w:rPr>
              <w:t>8.1</w:t>
            </w:r>
          </w:p>
        </w:tc>
        <w:tc>
          <w:tcPr>
            <w:tcW w:w="762" w:type="pct"/>
            <w:vAlign w:val="center"/>
          </w:tcPr>
          <w:p>
            <w:pPr>
              <w:jc w:val="center"/>
              <w:rPr>
                <w:sz w:val="24"/>
              </w:rPr>
            </w:pPr>
            <w:r>
              <w:rPr>
                <w:rFonts w:hint="eastAsia"/>
                <w:sz w:val="24"/>
              </w:rPr>
              <w:t>响应文件的式样和签署</w:t>
            </w:r>
          </w:p>
        </w:tc>
        <w:tc>
          <w:tcPr>
            <w:tcW w:w="3409" w:type="pct"/>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9</w:t>
            </w:r>
          </w:p>
        </w:tc>
        <w:tc>
          <w:tcPr>
            <w:tcW w:w="473" w:type="pct"/>
            <w:vAlign w:val="center"/>
          </w:tcPr>
          <w:p>
            <w:pPr>
              <w:jc w:val="center"/>
              <w:rPr>
                <w:sz w:val="24"/>
              </w:rPr>
            </w:pPr>
            <w:r>
              <w:rPr>
                <w:sz w:val="24"/>
              </w:rPr>
              <w:t>9.1</w:t>
            </w:r>
          </w:p>
        </w:tc>
        <w:tc>
          <w:tcPr>
            <w:tcW w:w="762" w:type="pct"/>
            <w:vAlign w:val="center"/>
          </w:tcPr>
          <w:p>
            <w:pPr>
              <w:jc w:val="center"/>
              <w:rPr>
                <w:sz w:val="24"/>
              </w:rPr>
            </w:pPr>
            <w:r>
              <w:rPr>
                <w:rFonts w:hint="eastAsia"/>
                <w:sz w:val="24"/>
              </w:rPr>
              <w:t>报价</w:t>
            </w:r>
          </w:p>
        </w:tc>
        <w:tc>
          <w:tcPr>
            <w:tcW w:w="3409"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10</w:t>
            </w:r>
          </w:p>
        </w:tc>
        <w:tc>
          <w:tcPr>
            <w:tcW w:w="473" w:type="pct"/>
            <w:vAlign w:val="center"/>
          </w:tcPr>
          <w:p>
            <w:pPr>
              <w:jc w:val="center"/>
              <w:rPr>
                <w:sz w:val="24"/>
              </w:rPr>
            </w:pPr>
          </w:p>
        </w:tc>
        <w:tc>
          <w:tcPr>
            <w:tcW w:w="762" w:type="pct"/>
            <w:vAlign w:val="center"/>
          </w:tcPr>
          <w:p>
            <w:pPr>
              <w:jc w:val="center"/>
              <w:rPr>
                <w:sz w:val="24"/>
              </w:rPr>
            </w:pPr>
            <w:r>
              <w:rPr>
                <w:rFonts w:hint="eastAsia"/>
                <w:sz w:val="24"/>
              </w:rPr>
              <w:t>响应文件的盖章或签字</w:t>
            </w:r>
          </w:p>
        </w:tc>
        <w:tc>
          <w:tcPr>
            <w:tcW w:w="3409" w:type="pct"/>
            <w:vAlign w:val="center"/>
          </w:tcPr>
          <w:p>
            <w:pPr>
              <w:rPr>
                <w:sz w:val="24"/>
              </w:rPr>
            </w:pPr>
            <w:r>
              <w:rPr>
                <w:rFonts w:hint="eastAsia"/>
                <w:sz w:val="24"/>
              </w:rPr>
              <w:t>本条款增加规定：</w:t>
            </w:r>
          </w:p>
          <w:p>
            <w:pPr>
              <w:rPr>
                <w:sz w:val="24"/>
              </w:rPr>
            </w:pPr>
            <w:r>
              <w:rPr>
                <w:rFonts w:hint="eastAsia"/>
                <w:sz w:val="24"/>
              </w:rPr>
              <w:t>（1）竞争性谈判文件第六章“响应文件格式”中有单位名称和法定代表人或其委托代理人签字落款的响应文件必须加盖单位公章。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11</w:t>
            </w:r>
          </w:p>
        </w:tc>
        <w:tc>
          <w:tcPr>
            <w:tcW w:w="473" w:type="pct"/>
            <w:vAlign w:val="center"/>
          </w:tcPr>
          <w:p>
            <w:pPr>
              <w:jc w:val="center"/>
              <w:rPr>
                <w:sz w:val="24"/>
              </w:rPr>
            </w:pPr>
            <w:r>
              <w:rPr>
                <w:sz w:val="24"/>
              </w:rPr>
              <w:t>10.1</w:t>
            </w:r>
          </w:p>
        </w:tc>
        <w:tc>
          <w:tcPr>
            <w:tcW w:w="762" w:type="pct"/>
            <w:vAlign w:val="center"/>
          </w:tcPr>
          <w:p>
            <w:pPr>
              <w:jc w:val="center"/>
              <w:rPr>
                <w:sz w:val="24"/>
              </w:rPr>
            </w:pPr>
            <w:r>
              <w:rPr>
                <w:rFonts w:hint="eastAsia"/>
                <w:sz w:val="24"/>
              </w:rPr>
              <w:t>响应有效期</w:t>
            </w:r>
          </w:p>
        </w:tc>
        <w:tc>
          <w:tcPr>
            <w:tcW w:w="3409"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12</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递交响应文件截止时间</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56" w:type="pct"/>
            <w:vAlign w:val="center"/>
          </w:tcPr>
          <w:p>
            <w:pPr>
              <w:jc w:val="center"/>
              <w:rPr>
                <w:sz w:val="24"/>
              </w:rPr>
            </w:pPr>
            <w:r>
              <w:rPr>
                <w:sz w:val="24"/>
              </w:rPr>
              <w:t>13</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递交响应文件地点</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14</w:t>
            </w:r>
          </w:p>
        </w:tc>
        <w:tc>
          <w:tcPr>
            <w:tcW w:w="473" w:type="pct"/>
            <w:vAlign w:val="center"/>
          </w:tcPr>
          <w:p>
            <w:pPr>
              <w:jc w:val="center"/>
              <w:rPr>
                <w:sz w:val="24"/>
              </w:rPr>
            </w:pPr>
            <w:r>
              <w:rPr>
                <w:sz w:val="24"/>
              </w:rPr>
              <w:t>17.5</w:t>
            </w:r>
          </w:p>
        </w:tc>
        <w:tc>
          <w:tcPr>
            <w:tcW w:w="762" w:type="pct"/>
            <w:vAlign w:val="center"/>
          </w:tcPr>
          <w:p>
            <w:pPr>
              <w:jc w:val="center"/>
              <w:rPr>
                <w:sz w:val="24"/>
              </w:rPr>
            </w:pPr>
            <w:r>
              <w:rPr>
                <w:rFonts w:hint="eastAsia"/>
                <w:sz w:val="24"/>
              </w:rPr>
              <w:t>如发现下列情况之一的，其响应文件将可能被拒绝</w:t>
            </w:r>
          </w:p>
        </w:tc>
        <w:tc>
          <w:tcPr>
            <w:tcW w:w="3409" w:type="pct"/>
            <w:vAlign w:val="center"/>
          </w:tcPr>
          <w:p>
            <w:pPr>
              <w:rPr>
                <w:sz w:val="24"/>
              </w:rPr>
            </w:pPr>
            <w:r>
              <w:rPr>
                <w:sz w:val="24"/>
              </w:rPr>
              <w:t>1</w:t>
            </w:r>
            <w:r>
              <w:rPr>
                <w:rFonts w:hint="eastAsia"/>
                <w:sz w:val="24"/>
              </w:rPr>
              <w:t>）不满足竞争性谈判文件对合格供应商的基本资质要求的；</w:t>
            </w:r>
          </w:p>
          <w:p>
            <w:pPr>
              <w:rPr>
                <w:sz w:val="24"/>
              </w:rPr>
            </w:pPr>
            <w:r>
              <w:rPr>
                <w:rFonts w:hint="eastAsia"/>
                <w:sz w:val="24"/>
              </w:rPr>
              <w:t>2）供应商在响应文件中提供的服务内容及质量不能实质性满足竞争性谈判文件要求或不能提供实质性满足证明的；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5）资格证明文件不全、失效或不符合竞争性谈判文件要求的；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9）未按照竞争性谈判文件规定的方式领取竞争性谈判文件并按要求递交响应文件的；</w:t>
            </w:r>
          </w:p>
          <w:p>
            <w:pPr>
              <w:rPr>
                <w:sz w:val="24"/>
              </w:rPr>
            </w:pPr>
            <w:r>
              <w:rPr>
                <w:sz w:val="24"/>
              </w:rPr>
              <w:t>1</w:t>
            </w:r>
            <w:r>
              <w:rPr>
                <w:rFonts w:hint="eastAsia"/>
                <w:sz w:val="24"/>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15</w:t>
            </w:r>
          </w:p>
        </w:tc>
        <w:tc>
          <w:tcPr>
            <w:tcW w:w="473" w:type="pct"/>
            <w:vAlign w:val="center"/>
          </w:tcPr>
          <w:p>
            <w:pPr>
              <w:jc w:val="center"/>
              <w:rPr>
                <w:sz w:val="24"/>
              </w:rPr>
            </w:pPr>
            <w:r>
              <w:rPr>
                <w:sz w:val="24"/>
              </w:rPr>
              <w:t>19</w:t>
            </w:r>
          </w:p>
        </w:tc>
        <w:tc>
          <w:tcPr>
            <w:tcW w:w="762" w:type="pct"/>
            <w:vAlign w:val="center"/>
          </w:tcPr>
          <w:p>
            <w:pPr>
              <w:jc w:val="center"/>
              <w:rPr>
                <w:sz w:val="24"/>
              </w:rPr>
            </w:pPr>
            <w:r>
              <w:rPr>
                <w:rFonts w:hint="eastAsia"/>
                <w:sz w:val="24"/>
              </w:rPr>
              <w:t>评审</w:t>
            </w:r>
          </w:p>
        </w:tc>
        <w:tc>
          <w:tcPr>
            <w:tcW w:w="3409" w:type="pct"/>
            <w:vAlign w:val="center"/>
          </w:tcPr>
          <w:p>
            <w:pPr>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56" w:type="pct"/>
            <w:vAlign w:val="center"/>
          </w:tcPr>
          <w:p>
            <w:pPr>
              <w:jc w:val="center"/>
              <w:rPr>
                <w:sz w:val="24"/>
              </w:rPr>
            </w:pPr>
            <w:r>
              <w:rPr>
                <w:sz w:val="24"/>
              </w:rPr>
              <w:t>16</w:t>
            </w:r>
          </w:p>
        </w:tc>
        <w:tc>
          <w:tcPr>
            <w:tcW w:w="473" w:type="pct"/>
            <w:vAlign w:val="center"/>
          </w:tcPr>
          <w:p>
            <w:pPr>
              <w:jc w:val="center"/>
              <w:rPr>
                <w:sz w:val="24"/>
              </w:rPr>
            </w:pPr>
            <w:r>
              <w:rPr>
                <w:sz w:val="24"/>
              </w:rPr>
              <w:t>22.1</w:t>
            </w:r>
          </w:p>
        </w:tc>
        <w:tc>
          <w:tcPr>
            <w:tcW w:w="76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09" w:type="pct"/>
            <w:vAlign w:val="center"/>
          </w:tcPr>
          <w:p>
            <w:pPr>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56" w:type="pct"/>
            <w:vAlign w:val="center"/>
          </w:tcPr>
          <w:p>
            <w:pPr>
              <w:jc w:val="center"/>
              <w:rPr>
                <w:sz w:val="24"/>
              </w:rPr>
            </w:pPr>
            <w:r>
              <w:rPr>
                <w:sz w:val="24"/>
              </w:rPr>
              <w:t>17</w:t>
            </w:r>
          </w:p>
        </w:tc>
        <w:tc>
          <w:tcPr>
            <w:tcW w:w="473" w:type="pct"/>
            <w:vAlign w:val="center"/>
          </w:tcPr>
          <w:p>
            <w:pPr>
              <w:jc w:val="center"/>
              <w:rPr>
                <w:sz w:val="24"/>
              </w:rPr>
            </w:pPr>
            <w:r>
              <w:rPr>
                <w:sz w:val="24"/>
              </w:rPr>
              <w:t>24</w:t>
            </w:r>
          </w:p>
        </w:tc>
        <w:tc>
          <w:tcPr>
            <w:tcW w:w="762" w:type="pct"/>
            <w:vAlign w:val="center"/>
          </w:tcPr>
          <w:p>
            <w:pPr>
              <w:jc w:val="center"/>
              <w:rPr>
                <w:sz w:val="24"/>
              </w:rPr>
            </w:pPr>
            <w:r>
              <w:rPr>
                <w:rFonts w:hint="eastAsia"/>
                <w:sz w:val="24"/>
              </w:rPr>
              <w:t>签约</w:t>
            </w:r>
          </w:p>
        </w:tc>
        <w:tc>
          <w:tcPr>
            <w:tcW w:w="3409" w:type="pct"/>
            <w:vAlign w:val="center"/>
          </w:tcPr>
          <w:p>
            <w:pPr>
              <w:rPr>
                <w:sz w:val="24"/>
              </w:rPr>
            </w:pPr>
            <w:r>
              <w:rPr>
                <w:rFonts w:hint="eastAsia"/>
                <w:sz w:val="24"/>
              </w:rPr>
              <w:t>采购人与本次成交供应商按本竞争性谈判文件第四章合同格式签订合同。</w:t>
            </w:r>
          </w:p>
        </w:tc>
      </w:tr>
    </w:tbl>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rPr>
          <w:rFonts w:ascii="宋体" w:hAnsi="宋体"/>
          <w:sz w:val="2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p>
    <w:p>
      <w:pPr>
        <w:pStyle w:val="2"/>
      </w:pPr>
    </w:p>
    <w:p/>
    <w:p>
      <w:pPr>
        <w:pStyle w:val="2"/>
      </w:pPr>
    </w:p>
    <w:p/>
    <w:p>
      <w:pPr>
        <w:pStyle w:val="2"/>
      </w:pPr>
    </w:p>
    <w:p/>
    <w:p>
      <w:pPr>
        <w:pStyle w:val="2"/>
      </w:pPr>
    </w:p>
    <w:p/>
    <w:p>
      <w:pPr>
        <w:pStyle w:val="66"/>
        <w:jc w:val="center"/>
      </w:pPr>
      <w:bookmarkStart w:id="11" w:name="_Toc69378617"/>
      <w:bookmarkStart w:id="12" w:name="_Toc166247621"/>
      <w:r>
        <w:rPr>
          <w:rFonts w:hint="eastAsia"/>
        </w:rPr>
        <w:t>第三章 评审办法</w:t>
      </w:r>
      <w:bookmarkEnd w:id="11"/>
      <w:bookmarkEnd w:id="12"/>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jc w:val="center"/>
        <w:rPr>
          <w:rFonts w:ascii="宋体" w:hAnsi="宋体"/>
          <w:sz w:val="37"/>
          <w:szCs w:val="37"/>
        </w:rPr>
      </w:pPr>
      <w:r>
        <w:rPr>
          <w:rFonts w:ascii="宋体" w:hAnsi="宋体"/>
        </w:rPr>
        <w:br w:type="page"/>
      </w:r>
      <w:r>
        <w:rPr>
          <w:rFonts w:ascii="宋体" w:hAnsi="宋体"/>
          <w:sz w:val="37"/>
          <w:szCs w:val="37"/>
        </w:rPr>
        <w:t>评标办法</w:t>
      </w:r>
    </w:p>
    <w:p>
      <w:pPr>
        <w:jc w:val="center"/>
        <w:rPr>
          <w:rFonts w:ascii="宋体" w:hAnsi="宋体"/>
          <w:sz w:val="24"/>
        </w:rPr>
      </w:pPr>
      <w:r>
        <w:rPr>
          <w:rFonts w:ascii="宋体" w:hAnsi="宋体"/>
          <w:sz w:val="24"/>
        </w:rPr>
        <w:t>（满分100分）</w:t>
      </w:r>
    </w:p>
    <w:tbl>
      <w:tblPr>
        <w:tblStyle w:val="2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27"/>
        <w:gridCol w:w="85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7" w:type="dxa"/>
            <w:gridSpan w:val="2"/>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评审内容</w:t>
            </w:r>
          </w:p>
        </w:tc>
        <w:tc>
          <w:tcPr>
            <w:tcW w:w="850"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分值</w:t>
            </w:r>
          </w:p>
        </w:tc>
        <w:tc>
          <w:tcPr>
            <w:tcW w:w="5670"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cs="宋体"/>
                <w:kern w:val="0"/>
                <w:szCs w:val="21"/>
              </w:rPr>
              <w:t>价格</w:t>
            </w:r>
          </w:p>
        </w:tc>
        <w:tc>
          <w:tcPr>
            <w:tcW w:w="1427" w:type="dxa"/>
            <w:vAlign w:val="center"/>
          </w:tcPr>
          <w:p>
            <w:pPr>
              <w:spacing w:line="360" w:lineRule="auto"/>
              <w:jc w:val="center"/>
              <w:rPr>
                <w:rFonts w:ascii="宋体" w:hAnsi="宋体"/>
                <w:kern w:val="0"/>
                <w:szCs w:val="21"/>
              </w:rPr>
            </w:pPr>
            <w:r>
              <w:rPr>
                <w:rFonts w:hint="eastAsia" w:ascii="宋体" w:hAnsi="宋体"/>
                <w:bCs/>
                <w:color w:val="000000"/>
                <w:szCs w:val="21"/>
              </w:rPr>
              <w:t>项目</w:t>
            </w:r>
            <w:r>
              <w:rPr>
                <w:rFonts w:ascii="宋体" w:hAnsi="宋体"/>
                <w:bCs/>
                <w:color w:val="000000"/>
                <w:szCs w:val="21"/>
              </w:rPr>
              <w:t>报价</w:t>
            </w:r>
          </w:p>
        </w:tc>
        <w:tc>
          <w:tcPr>
            <w:tcW w:w="850" w:type="dxa"/>
            <w:vAlign w:val="center"/>
          </w:tcPr>
          <w:p>
            <w:pPr>
              <w:spacing w:line="360" w:lineRule="auto"/>
              <w:jc w:val="center"/>
              <w:rPr>
                <w:rFonts w:ascii="宋体" w:hAnsi="宋体"/>
                <w:b/>
                <w:bCs/>
                <w:kern w:val="0"/>
                <w:szCs w:val="21"/>
              </w:rPr>
            </w:pPr>
            <w:r>
              <w:rPr>
                <w:rFonts w:ascii="宋体" w:hAnsi="宋体" w:cs="宋体"/>
                <w:kern w:val="0"/>
                <w:szCs w:val="21"/>
              </w:rPr>
              <w:t>60</w:t>
            </w:r>
          </w:p>
        </w:tc>
        <w:tc>
          <w:tcPr>
            <w:tcW w:w="5670" w:type="dxa"/>
            <w:vAlign w:val="center"/>
          </w:tcPr>
          <w:p>
            <w:pPr>
              <w:widowControl/>
              <w:tabs>
                <w:tab w:val="left" w:pos="0"/>
              </w:tabs>
              <w:spacing w:line="360" w:lineRule="auto"/>
              <w:rPr>
                <w:rFonts w:ascii="宋体" w:hAnsi="宋体"/>
                <w:kern w:val="0"/>
                <w:szCs w:val="21"/>
              </w:rPr>
            </w:pPr>
            <w:r>
              <w:rPr>
                <w:rFonts w:hint="eastAsia" w:ascii="宋体" w:hAnsi="宋体"/>
                <w:kern w:val="0"/>
                <w:szCs w:val="21"/>
              </w:rPr>
              <w:t>A、</w:t>
            </w:r>
            <w:r>
              <w:rPr>
                <w:rFonts w:ascii="宋体" w:hAnsi="宋体"/>
                <w:kern w:val="0"/>
                <w:szCs w:val="21"/>
              </w:rPr>
              <w:t>评审</w:t>
            </w:r>
            <w:r>
              <w:rPr>
                <w:rFonts w:hint="eastAsia" w:ascii="宋体" w:hAnsi="宋体"/>
                <w:kern w:val="0"/>
                <w:szCs w:val="21"/>
              </w:rPr>
              <w:t>价的计算：</w:t>
            </w:r>
          </w:p>
          <w:p>
            <w:pPr>
              <w:widowControl/>
              <w:tabs>
                <w:tab w:val="left" w:pos="207"/>
                <w:tab w:val="left" w:pos="312"/>
              </w:tabs>
              <w:spacing w:line="360" w:lineRule="auto"/>
              <w:rPr>
                <w:rFonts w:ascii="宋体" w:hAnsi="宋体"/>
                <w:kern w:val="0"/>
                <w:szCs w:val="21"/>
              </w:rPr>
            </w:pPr>
            <w:r>
              <w:rPr>
                <w:rFonts w:hint="eastAsia" w:ascii="宋体" w:hAnsi="宋体"/>
                <w:szCs w:val="21"/>
              </w:rPr>
              <w:t>1、供应商的最终报价</w:t>
            </w:r>
            <w:r>
              <w:rPr>
                <w:rFonts w:hint="eastAsia" w:ascii="宋体" w:hAnsi="宋体"/>
                <w:kern w:val="0"/>
                <w:szCs w:val="21"/>
              </w:rPr>
              <w:t>如有缺漏项均视为不实质性响应；</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2、不接受选择性报价或者具有附加条件的报价；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3、响应文件中如果申报了非竞争性谈判文件所要求的服务和产品，</w:t>
            </w:r>
            <w:r>
              <w:rPr>
                <w:rFonts w:ascii="宋体" w:hAnsi="宋体"/>
                <w:kern w:val="0"/>
                <w:szCs w:val="21"/>
              </w:rPr>
              <w:t>评审</w:t>
            </w:r>
            <w:r>
              <w:rPr>
                <w:rFonts w:hint="eastAsia" w:ascii="宋体" w:hAnsi="宋体"/>
                <w:kern w:val="0"/>
                <w:szCs w:val="21"/>
              </w:rPr>
              <w:t>时不予以折价降低</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4、供应商</w:t>
            </w:r>
            <w:r>
              <w:rPr>
                <w:rFonts w:hint="eastAsia" w:ascii="宋体" w:hAnsi="宋体"/>
                <w:szCs w:val="21"/>
              </w:rPr>
              <w:t>的含税</w:t>
            </w:r>
            <w:r>
              <w:rPr>
                <w:rFonts w:hint="eastAsia" w:ascii="宋体" w:hAnsi="宋体"/>
                <w:kern w:val="0"/>
                <w:szCs w:val="21"/>
              </w:rPr>
              <w:t>报价经勘误后的</w:t>
            </w:r>
            <w:r>
              <w:rPr>
                <w:rFonts w:hint="eastAsia" w:ascii="宋体" w:hAnsi="宋体"/>
                <w:szCs w:val="21"/>
              </w:rPr>
              <w:t>值</w:t>
            </w:r>
            <w:r>
              <w:rPr>
                <w:rFonts w:hint="eastAsia" w:ascii="宋体" w:hAnsi="宋体"/>
                <w:kern w:val="0"/>
                <w:szCs w:val="21"/>
              </w:rPr>
              <w:t>作为该供应商的</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B、价格分的计算（</w:t>
            </w:r>
            <w:r>
              <w:rPr>
                <w:rFonts w:ascii="宋体" w:hAnsi="宋体"/>
                <w:kern w:val="0"/>
                <w:szCs w:val="21"/>
              </w:rPr>
              <w:t>保留小数点后2位）</w:t>
            </w:r>
          </w:p>
          <w:p>
            <w:pPr>
              <w:widowControl/>
              <w:tabs>
                <w:tab w:val="left" w:pos="0"/>
              </w:tabs>
              <w:spacing w:line="360" w:lineRule="auto"/>
              <w:rPr>
                <w:rFonts w:ascii="宋体" w:hAnsi="宋体"/>
                <w:kern w:val="0"/>
                <w:szCs w:val="21"/>
              </w:rPr>
            </w:pPr>
            <w:r>
              <w:rPr>
                <w:rFonts w:ascii="宋体" w:hAnsi="宋体"/>
                <w:kern w:val="0"/>
                <w:szCs w:val="21"/>
              </w:rPr>
              <w:t>1. 评标基准价：将满足</w:t>
            </w:r>
            <w:r>
              <w:rPr>
                <w:rFonts w:hint="eastAsia" w:ascii="宋体" w:hAnsi="宋体"/>
                <w:kern w:val="0"/>
                <w:szCs w:val="21"/>
              </w:rPr>
              <w:t>响应文件</w:t>
            </w:r>
            <w:r>
              <w:rPr>
                <w:rFonts w:ascii="宋体" w:hAnsi="宋体"/>
                <w:kern w:val="0"/>
                <w:szCs w:val="21"/>
              </w:rPr>
              <w:t>要求的所有</w:t>
            </w:r>
            <w:r>
              <w:rPr>
                <w:rFonts w:hint="eastAsia" w:ascii="宋体" w:hAnsi="宋体"/>
              </w:rPr>
              <w:t>供应商</w:t>
            </w:r>
            <w:r>
              <w:rPr>
                <w:rFonts w:hint="eastAsia" w:ascii="宋体" w:hAnsi="宋体"/>
                <w:kern w:val="0"/>
                <w:szCs w:val="21"/>
              </w:rPr>
              <w:t>的最低</w:t>
            </w:r>
            <w:r>
              <w:rPr>
                <w:rFonts w:ascii="宋体" w:hAnsi="宋体"/>
                <w:kern w:val="0"/>
                <w:szCs w:val="21"/>
              </w:rPr>
              <w:t>价为评标基准价。</w:t>
            </w:r>
          </w:p>
          <w:p>
            <w:pPr>
              <w:widowControl/>
              <w:tabs>
                <w:tab w:val="left" w:pos="0"/>
              </w:tabs>
              <w:spacing w:line="360" w:lineRule="auto"/>
              <w:rPr>
                <w:rFonts w:ascii="宋体" w:hAnsi="宋体"/>
                <w:kern w:val="0"/>
                <w:szCs w:val="21"/>
              </w:rPr>
            </w:pPr>
            <w:r>
              <w:rPr>
                <w:rFonts w:hint="eastAsia" w:ascii="宋体" w:hAnsi="宋体"/>
                <w:kern w:val="0"/>
                <w:szCs w:val="21"/>
              </w:rPr>
              <w:t>2、报价得分=（评标基准价/</w:t>
            </w:r>
            <w:r>
              <w:rPr>
                <w:rFonts w:hint="eastAsia" w:ascii="宋体" w:hAnsi="宋体"/>
              </w:rPr>
              <w:t>供应商</w:t>
            </w:r>
            <w:r>
              <w:rPr>
                <w:rFonts w:hint="eastAsia" w:ascii="宋体" w:hAnsi="宋体"/>
                <w:kern w:val="0"/>
                <w:szCs w:val="21"/>
              </w:rPr>
              <w:t>报价）*60。（低于基准价的报价得满分）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Merge w:val="restart"/>
            <w:vAlign w:val="center"/>
          </w:tcPr>
          <w:p>
            <w:pPr>
              <w:snapToGrid w:val="0"/>
              <w:spacing w:line="360" w:lineRule="auto"/>
              <w:jc w:val="left"/>
              <w:rPr>
                <w:rFonts w:ascii="宋体" w:hAnsi="宋体" w:cs="宋体"/>
                <w:kern w:val="0"/>
                <w:szCs w:val="21"/>
              </w:rPr>
            </w:pPr>
            <w:r>
              <w:rPr>
                <w:rFonts w:hint="eastAsia" w:ascii="宋体" w:hAnsi="宋体" w:cs="宋体"/>
                <w:kern w:val="0"/>
                <w:szCs w:val="21"/>
              </w:rPr>
              <w:t>商务</w:t>
            </w:r>
          </w:p>
        </w:tc>
        <w:tc>
          <w:tcPr>
            <w:tcW w:w="1427" w:type="dxa"/>
            <w:vAlign w:val="center"/>
          </w:tcPr>
          <w:p>
            <w:pPr>
              <w:spacing w:line="360" w:lineRule="auto"/>
              <w:jc w:val="center"/>
              <w:rPr>
                <w:rFonts w:ascii="宋体" w:hAnsi="宋体"/>
                <w:kern w:val="0"/>
                <w:szCs w:val="21"/>
              </w:rPr>
            </w:pPr>
            <w:r>
              <w:rPr>
                <w:rFonts w:ascii="宋体" w:hAnsi="宋体"/>
                <w:kern w:val="0"/>
                <w:szCs w:val="21"/>
              </w:rPr>
              <w:t>综合实力</w:t>
            </w:r>
          </w:p>
        </w:tc>
        <w:tc>
          <w:tcPr>
            <w:tcW w:w="850" w:type="dxa"/>
            <w:vAlign w:val="center"/>
          </w:tcPr>
          <w:p>
            <w:pPr>
              <w:spacing w:line="360" w:lineRule="auto"/>
              <w:jc w:val="center"/>
              <w:rPr>
                <w:rFonts w:ascii="宋体" w:hAnsi="宋体"/>
                <w:color w:val="FF0000"/>
                <w:kern w:val="0"/>
                <w:szCs w:val="21"/>
              </w:rPr>
            </w:pPr>
            <w:r>
              <w:rPr>
                <w:rFonts w:ascii="宋体" w:hAnsi="宋体"/>
                <w:b/>
                <w:bCs/>
                <w:kern w:val="0"/>
                <w:szCs w:val="21"/>
              </w:rPr>
              <w:t>3</w:t>
            </w:r>
          </w:p>
        </w:tc>
        <w:tc>
          <w:tcPr>
            <w:tcW w:w="5670" w:type="dxa"/>
          </w:tcPr>
          <w:p>
            <w:pPr>
              <w:widowControl/>
              <w:tabs>
                <w:tab w:val="left" w:pos="0"/>
              </w:tabs>
              <w:spacing w:line="360" w:lineRule="auto"/>
              <w:rPr>
                <w:rFonts w:ascii="宋体" w:hAnsi="宋体"/>
                <w:kern w:val="0"/>
                <w:szCs w:val="21"/>
              </w:rPr>
            </w:pPr>
            <w:r>
              <w:rPr>
                <w:rFonts w:hint="eastAsia" w:ascii="宋体" w:hAnsi="宋体"/>
                <w:kern w:val="0"/>
                <w:szCs w:val="21"/>
              </w:rPr>
              <w:t>供应商注册资金超过1000万（含）的得</w:t>
            </w:r>
            <w:r>
              <w:rPr>
                <w:rFonts w:ascii="宋体" w:hAnsi="宋体"/>
                <w:kern w:val="0"/>
                <w:szCs w:val="21"/>
              </w:rPr>
              <w:t>3</w:t>
            </w:r>
            <w:r>
              <w:rPr>
                <w:rFonts w:hint="eastAsia" w:ascii="宋体" w:hAnsi="宋体"/>
                <w:kern w:val="0"/>
                <w:szCs w:val="21"/>
              </w:rPr>
              <w:t>分；超过500万（含）的得</w:t>
            </w:r>
            <w:r>
              <w:rPr>
                <w:rFonts w:ascii="宋体" w:hAnsi="宋体"/>
                <w:kern w:val="0"/>
                <w:szCs w:val="21"/>
              </w:rPr>
              <w:t>2</w:t>
            </w:r>
            <w:r>
              <w:rPr>
                <w:rFonts w:hint="eastAsia" w:ascii="宋体" w:hAnsi="宋体"/>
                <w:kern w:val="0"/>
                <w:szCs w:val="21"/>
              </w:rPr>
              <w:t>分；超过300万（含）的得</w:t>
            </w:r>
            <w:r>
              <w:rPr>
                <w:rFonts w:ascii="宋体" w:hAnsi="宋体"/>
                <w:kern w:val="0"/>
                <w:szCs w:val="21"/>
              </w:rPr>
              <w:t>1</w:t>
            </w:r>
            <w:r>
              <w:rPr>
                <w:rFonts w:hint="eastAsia" w:ascii="宋体" w:hAnsi="宋体"/>
                <w:kern w:val="0"/>
                <w:szCs w:val="21"/>
              </w:rPr>
              <w:t>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Merge w:val="continue"/>
            <w:vAlign w:val="center"/>
          </w:tcPr>
          <w:p>
            <w:pPr>
              <w:snapToGrid w:val="0"/>
              <w:spacing w:line="360" w:lineRule="auto"/>
              <w:jc w:val="left"/>
              <w:rPr>
                <w:rFonts w:hint="eastAsia" w:ascii="宋体" w:hAnsi="宋体" w:cs="宋体"/>
                <w:kern w:val="0"/>
                <w:szCs w:val="21"/>
              </w:rPr>
            </w:pPr>
          </w:p>
        </w:tc>
        <w:tc>
          <w:tcPr>
            <w:tcW w:w="1427" w:type="dxa"/>
            <w:vAlign w:val="center"/>
          </w:tcPr>
          <w:p>
            <w:pPr>
              <w:spacing w:line="360" w:lineRule="auto"/>
              <w:jc w:val="center"/>
              <w:rPr>
                <w:rFonts w:ascii="宋体" w:hAnsi="宋体"/>
                <w:kern w:val="0"/>
                <w:szCs w:val="21"/>
              </w:rPr>
            </w:pPr>
            <w:r>
              <w:rPr>
                <w:rFonts w:hint="eastAsia" w:ascii="宋体" w:hAnsi="宋体"/>
                <w:kern w:val="0"/>
                <w:szCs w:val="21"/>
              </w:rPr>
              <w:t>财务报表</w:t>
            </w:r>
          </w:p>
        </w:tc>
        <w:tc>
          <w:tcPr>
            <w:tcW w:w="850" w:type="dxa"/>
            <w:vAlign w:val="center"/>
          </w:tcPr>
          <w:p>
            <w:pPr>
              <w:spacing w:line="360" w:lineRule="auto"/>
              <w:jc w:val="center"/>
              <w:rPr>
                <w:rFonts w:ascii="宋体" w:hAnsi="宋体"/>
                <w:b/>
                <w:bCs/>
                <w:kern w:val="0"/>
                <w:szCs w:val="21"/>
              </w:rPr>
            </w:pPr>
            <w:r>
              <w:rPr>
                <w:rFonts w:ascii="宋体" w:hAnsi="宋体"/>
                <w:b/>
                <w:bCs/>
                <w:kern w:val="0"/>
                <w:szCs w:val="21"/>
              </w:rPr>
              <w:t>2</w:t>
            </w:r>
          </w:p>
        </w:tc>
        <w:tc>
          <w:tcPr>
            <w:tcW w:w="5670" w:type="dxa"/>
          </w:tcPr>
          <w:p>
            <w:pPr>
              <w:widowControl/>
              <w:tabs>
                <w:tab w:val="left" w:pos="0"/>
              </w:tabs>
              <w:spacing w:line="360" w:lineRule="auto"/>
              <w:rPr>
                <w:rFonts w:hint="eastAsia" w:ascii="宋体" w:hAnsi="宋体"/>
                <w:kern w:val="0"/>
                <w:szCs w:val="21"/>
              </w:rPr>
            </w:pPr>
            <w:r>
              <w:rPr>
                <w:rFonts w:hint="eastAsia" w:ascii="宋体" w:hAnsi="宋体"/>
                <w:szCs w:val="21"/>
              </w:rPr>
              <w:t>根据供应商提供的经会计师事务所审计的2021年度和2022年度财务报表进行打分，净利润连续两年都为正，得2分，否则不得分。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Merge w:val="continue"/>
            <w:vAlign w:val="center"/>
          </w:tcPr>
          <w:p>
            <w:pPr>
              <w:snapToGrid w:val="0"/>
              <w:spacing w:line="360" w:lineRule="auto"/>
              <w:jc w:val="left"/>
              <w:rPr>
                <w:rFonts w:ascii="宋体" w:hAnsi="宋体" w:cs="宋体"/>
                <w:kern w:val="0"/>
                <w:szCs w:val="21"/>
              </w:rPr>
            </w:pPr>
          </w:p>
        </w:tc>
        <w:tc>
          <w:tcPr>
            <w:tcW w:w="1427" w:type="dxa"/>
            <w:vAlign w:val="center"/>
          </w:tcPr>
          <w:p>
            <w:pPr>
              <w:snapToGrid w:val="0"/>
              <w:spacing w:line="360" w:lineRule="auto"/>
              <w:jc w:val="center"/>
              <w:rPr>
                <w:rFonts w:ascii="宋体" w:hAnsi="宋体" w:cs="宋体"/>
                <w:kern w:val="0"/>
                <w:szCs w:val="21"/>
              </w:rPr>
            </w:pPr>
            <w:r>
              <w:rPr>
                <w:rFonts w:hint="eastAsia" w:ascii="宋体" w:hAnsi="宋体"/>
              </w:rPr>
              <w:t>业绩等实力</w:t>
            </w:r>
          </w:p>
        </w:tc>
        <w:tc>
          <w:tcPr>
            <w:tcW w:w="850" w:type="dxa"/>
            <w:vAlign w:val="center"/>
          </w:tcPr>
          <w:p>
            <w:pPr>
              <w:spacing w:line="360" w:lineRule="auto"/>
              <w:jc w:val="center"/>
              <w:rPr>
                <w:rFonts w:ascii="宋体" w:hAnsi="宋体"/>
                <w:b/>
                <w:szCs w:val="21"/>
              </w:rPr>
            </w:pPr>
            <w:r>
              <w:rPr>
                <w:rFonts w:ascii="宋体" w:hAnsi="宋体"/>
                <w:b/>
                <w:bCs/>
                <w:szCs w:val="21"/>
              </w:rPr>
              <w:t>17</w:t>
            </w:r>
          </w:p>
        </w:tc>
        <w:tc>
          <w:tcPr>
            <w:tcW w:w="5670" w:type="dxa"/>
            <w:vAlign w:val="center"/>
          </w:tcPr>
          <w:p>
            <w:pPr>
              <w:widowControl/>
              <w:tabs>
                <w:tab w:val="left" w:pos="0"/>
              </w:tabs>
              <w:spacing w:line="360" w:lineRule="auto"/>
              <w:rPr>
                <w:rFonts w:hint="eastAsia" w:ascii="宋体" w:hAnsi="宋体"/>
                <w:kern w:val="0"/>
                <w:szCs w:val="21"/>
              </w:rPr>
            </w:pPr>
            <w:r>
              <w:rPr>
                <w:rFonts w:ascii="宋体" w:hAnsi="宋体"/>
                <w:kern w:val="0"/>
                <w:szCs w:val="21"/>
              </w:rPr>
              <w:t>1</w:t>
            </w:r>
            <w:r>
              <w:rPr>
                <w:rFonts w:hint="eastAsia" w:ascii="宋体" w:hAnsi="宋体"/>
                <w:kern w:val="0"/>
                <w:szCs w:val="21"/>
              </w:rPr>
              <w:t>、2019年至今，参与过宽带数通设备搬迁工程（提供有关证明材料，如合同等）。每提供一份省级机房搬迁材料得</w:t>
            </w:r>
            <w:r>
              <w:rPr>
                <w:rFonts w:ascii="宋体" w:hAnsi="宋体"/>
                <w:kern w:val="0"/>
                <w:szCs w:val="21"/>
              </w:rPr>
              <w:t>2</w:t>
            </w:r>
            <w:r>
              <w:rPr>
                <w:rFonts w:hint="eastAsia" w:ascii="宋体" w:hAnsi="宋体"/>
                <w:kern w:val="0"/>
                <w:szCs w:val="21"/>
              </w:rPr>
              <w:t>分，最高为</w:t>
            </w:r>
            <w:r>
              <w:rPr>
                <w:rFonts w:ascii="宋体" w:hAnsi="宋体"/>
                <w:kern w:val="0"/>
                <w:szCs w:val="21"/>
              </w:rPr>
              <w:t>10</w:t>
            </w:r>
            <w:r>
              <w:rPr>
                <w:rFonts w:hint="eastAsia" w:ascii="宋体" w:hAnsi="宋体"/>
                <w:kern w:val="0"/>
                <w:szCs w:val="21"/>
              </w:rPr>
              <w:t>分。</w:t>
            </w:r>
          </w:p>
          <w:p>
            <w:pPr>
              <w:widowControl/>
              <w:tabs>
                <w:tab w:val="left" w:pos="0"/>
              </w:tabs>
              <w:spacing w:line="360" w:lineRule="auto"/>
              <w:rPr>
                <w:rFonts w:ascii="宋体" w:hAnsi="宋体"/>
                <w:kern w:val="0"/>
                <w:szCs w:val="21"/>
              </w:rPr>
            </w:pPr>
            <w:r>
              <w:rPr>
                <w:rFonts w:ascii="宋体" w:hAnsi="宋体"/>
                <w:kern w:val="0"/>
                <w:szCs w:val="21"/>
              </w:rPr>
              <w:t>2</w:t>
            </w:r>
            <w:r>
              <w:rPr>
                <w:rFonts w:hint="eastAsia" w:ascii="宋体" w:hAnsi="宋体"/>
                <w:kern w:val="0"/>
                <w:szCs w:val="21"/>
              </w:rPr>
              <w:t>、2019年至今，参与过广电行业机房以上的宽带数通设备搬迁工程（提供有关证明材料，如合同等）。每提供一份省级机房搬迁材料得</w:t>
            </w:r>
            <w:r>
              <w:rPr>
                <w:rFonts w:ascii="宋体" w:hAnsi="宋体"/>
                <w:kern w:val="0"/>
                <w:szCs w:val="21"/>
              </w:rPr>
              <w:t>1</w:t>
            </w:r>
            <w:r>
              <w:rPr>
                <w:rFonts w:hint="eastAsia" w:ascii="宋体" w:hAnsi="宋体"/>
                <w:kern w:val="0"/>
                <w:szCs w:val="21"/>
              </w:rPr>
              <w:t>分，最高为</w:t>
            </w:r>
            <w:r>
              <w:rPr>
                <w:rFonts w:ascii="宋体" w:hAnsi="宋体"/>
                <w:kern w:val="0"/>
                <w:szCs w:val="21"/>
              </w:rPr>
              <w:t>5</w:t>
            </w:r>
            <w:r>
              <w:rPr>
                <w:rFonts w:hint="eastAsia" w:ascii="宋体" w:hAnsi="宋体"/>
                <w:kern w:val="0"/>
                <w:szCs w:val="21"/>
              </w:rPr>
              <w:t>分；每提供一份市县级机房搬迁材料得</w:t>
            </w:r>
            <w:r>
              <w:rPr>
                <w:rFonts w:ascii="宋体" w:hAnsi="宋体"/>
                <w:kern w:val="0"/>
                <w:szCs w:val="21"/>
              </w:rPr>
              <w:t>0.5</w:t>
            </w:r>
            <w:r>
              <w:rPr>
                <w:rFonts w:hint="eastAsia" w:ascii="宋体" w:hAnsi="宋体"/>
                <w:kern w:val="0"/>
                <w:szCs w:val="21"/>
              </w:rPr>
              <w:t>分，最高为</w:t>
            </w:r>
            <w:r>
              <w:rPr>
                <w:rFonts w:ascii="宋体" w:hAnsi="宋体"/>
                <w:kern w:val="0"/>
                <w:szCs w:val="21"/>
              </w:rPr>
              <w:t>2</w:t>
            </w:r>
            <w:r>
              <w:rPr>
                <w:rFonts w:hint="eastAsia" w:ascii="宋体" w:hAnsi="宋体"/>
                <w:kern w:val="0"/>
                <w:szCs w:val="21"/>
              </w:rPr>
              <w:t>分。满分</w:t>
            </w:r>
            <w:r>
              <w:rPr>
                <w:rFonts w:ascii="宋体" w:hAnsi="宋体"/>
                <w:kern w:val="0"/>
                <w:szCs w:val="21"/>
              </w:rPr>
              <w:t>7</w:t>
            </w:r>
            <w:r>
              <w:rPr>
                <w:rFonts w:hint="eastAsia" w:ascii="宋体" w:hAnsi="宋体"/>
                <w:kern w:val="0"/>
                <w:szCs w:val="21"/>
              </w:rPr>
              <w:t>分。</w:t>
            </w:r>
          </w:p>
          <w:p>
            <w:pPr>
              <w:widowControl/>
              <w:tabs>
                <w:tab w:val="left" w:pos="0"/>
              </w:tabs>
              <w:spacing w:line="360" w:lineRule="auto"/>
              <w:rPr>
                <w:rFonts w:ascii="宋体" w:hAnsi="宋体"/>
                <w:kern w:val="0"/>
                <w:szCs w:val="21"/>
              </w:rPr>
            </w:pPr>
            <w:r>
              <w:rPr>
                <w:rFonts w:hint="eastAsia" w:ascii="宋体" w:hAnsi="宋体"/>
                <w:kern w:val="0"/>
                <w:szCs w:val="21"/>
              </w:rPr>
              <w:t>以上打分不得重复计分。</w:t>
            </w:r>
            <w:r>
              <w:rPr>
                <w:rFonts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cs="宋体"/>
                <w:kern w:val="0"/>
                <w:szCs w:val="21"/>
              </w:rPr>
              <w:t>技术</w:t>
            </w:r>
          </w:p>
        </w:tc>
        <w:tc>
          <w:tcPr>
            <w:tcW w:w="1427" w:type="dxa"/>
            <w:vAlign w:val="center"/>
          </w:tcPr>
          <w:p>
            <w:pPr>
              <w:widowControl/>
              <w:spacing w:line="360" w:lineRule="auto"/>
              <w:jc w:val="center"/>
              <w:rPr>
                <w:rFonts w:ascii="宋体" w:hAnsi="宋体"/>
                <w:szCs w:val="21"/>
              </w:rPr>
            </w:pPr>
            <w:r>
              <w:rPr>
                <w:rFonts w:hint="eastAsia" w:ascii="宋体" w:hAnsi="宋体"/>
                <w:szCs w:val="21"/>
              </w:rPr>
              <w:t>技术需求应答</w:t>
            </w:r>
          </w:p>
        </w:tc>
        <w:tc>
          <w:tcPr>
            <w:tcW w:w="850" w:type="dxa"/>
            <w:vAlign w:val="center"/>
          </w:tcPr>
          <w:p>
            <w:pPr>
              <w:spacing w:line="360" w:lineRule="auto"/>
              <w:jc w:val="center"/>
              <w:rPr>
                <w:rFonts w:ascii="宋体" w:hAnsi="宋体"/>
                <w:b/>
                <w:bCs/>
                <w:szCs w:val="21"/>
              </w:rPr>
            </w:pPr>
            <w:r>
              <w:rPr>
                <w:rFonts w:ascii="宋体" w:hAnsi="宋体"/>
                <w:b/>
                <w:bCs/>
                <w:szCs w:val="21"/>
              </w:rPr>
              <w:t>10</w:t>
            </w:r>
          </w:p>
        </w:tc>
        <w:tc>
          <w:tcPr>
            <w:tcW w:w="5670" w:type="dxa"/>
            <w:vAlign w:val="center"/>
          </w:tcPr>
          <w:p>
            <w:pPr>
              <w:widowControl/>
              <w:spacing w:line="360" w:lineRule="auto"/>
              <w:rPr>
                <w:rFonts w:ascii="宋体" w:hAnsi="宋体"/>
                <w:szCs w:val="21"/>
              </w:rPr>
            </w:pPr>
            <w:r>
              <w:rPr>
                <w:rFonts w:hint="eastAsia" w:ascii="宋体" w:hAnsi="宋体"/>
                <w:szCs w:val="21"/>
              </w:rPr>
              <w:t>根据竞争性谈判文件第五章《技术需求书》的偏离情况打分，基本分</w:t>
            </w:r>
            <w:r>
              <w:rPr>
                <w:rFonts w:ascii="宋体" w:hAnsi="宋体"/>
                <w:szCs w:val="21"/>
              </w:rPr>
              <w:t>10</w:t>
            </w:r>
            <w:r>
              <w:rPr>
                <w:rFonts w:hint="eastAsia" w:ascii="宋体" w:hAnsi="宋体"/>
                <w:szCs w:val="21"/>
              </w:rPr>
              <w:t>分。关键条款（“★</w:t>
            </w:r>
            <w:r>
              <w:rPr>
                <w:rFonts w:ascii="宋体" w:hAnsi="宋体"/>
                <w:szCs w:val="21"/>
              </w:rPr>
              <w:t>”号条款）为必须满足的技术要求，不满足的将导致废标；非关键条款（非“</w:t>
            </w:r>
            <w:r>
              <w:rPr>
                <w:rFonts w:hint="eastAsia" w:ascii="宋体" w:hAnsi="宋体"/>
                <w:szCs w:val="21"/>
              </w:rPr>
              <w:t>★</w:t>
            </w:r>
            <w:r>
              <w:rPr>
                <w:rFonts w:ascii="宋体" w:hAnsi="宋体"/>
                <w:szCs w:val="21"/>
              </w:rPr>
              <w:t>”号条款），有1条不满足扣2分，扣完为止。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服务</w:t>
            </w:r>
          </w:p>
        </w:tc>
        <w:tc>
          <w:tcPr>
            <w:tcW w:w="1427" w:type="dxa"/>
            <w:vAlign w:val="center"/>
          </w:tcPr>
          <w:p>
            <w:pPr>
              <w:jc w:val="center"/>
              <w:rPr>
                <w:szCs w:val="21"/>
              </w:rPr>
            </w:pPr>
            <w:r>
              <w:rPr>
                <w:rFonts w:hint="eastAsia"/>
                <w:szCs w:val="21"/>
              </w:rPr>
              <w:t>项目团队实力</w:t>
            </w:r>
          </w:p>
        </w:tc>
        <w:tc>
          <w:tcPr>
            <w:tcW w:w="850" w:type="dxa"/>
            <w:vAlign w:val="center"/>
          </w:tcPr>
          <w:p>
            <w:pPr>
              <w:spacing w:line="360" w:lineRule="auto"/>
              <w:jc w:val="center"/>
              <w:rPr>
                <w:rFonts w:ascii="宋体" w:hAnsi="宋体"/>
                <w:b/>
                <w:bCs/>
                <w:szCs w:val="21"/>
              </w:rPr>
            </w:pPr>
            <w:r>
              <w:rPr>
                <w:rFonts w:ascii="宋体" w:hAnsi="宋体"/>
                <w:b/>
                <w:bCs/>
                <w:szCs w:val="21"/>
              </w:rPr>
              <w:t>8</w:t>
            </w:r>
          </w:p>
        </w:tc>
        <w:tc>
          <w:tcPr>
            <w:tcW w:w="5670" w:type="dxa"/>
            <w:vAlign w:val="center"/>
          </w:tcPr>
          <w:p>
            <w:pPr>
              <w:widowControl/>
              <w:tabs>
                <w:tab w:val="left" w:pos="0"/>
              </w:tabs>
              <w:spacing w:line="360" w:lineRule="auto"/>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w:t>
            </w:r>
            <w:r>
              <w:rPr>
                <w:rFonts w:hint="eastAsia" w:ascii="宋体" w:hAnsi="宋体"/>
                <w:color w:val="000000"/>
                <w:szCs w:val="21"/>
              </w:rPr>
              <w:t>项目经理参与过运营商级数通设备搬迁实施服务（提供案例）的得基本分</w:t>
            </w:r>
            <w:r>
              <w:rPr>
                <w:rFonts w:ascii="宋体" w:hAnsi="宋体"/>
                <w:color w:val="000000"/>
                <w:szCs w:val="21"/>
              </w:rPr>
              <w:t>2</w:t>
            </w:r>
            <w:r>
              <w:rPr>
                <w:rFonts w:hint="eastAsia" w:ascii="宋体" w:hAnsi="宋体"/>
                <w:color w:val="000000"/>
                <w:szCs w:val="21"/>
              </w:rPr>
              <w:t>分，否则不得分。</w:t>
            </w:r>
          </w:p>
          <w:p>
            <w:pPr>
              <w:widowControl/>
              <w:tabs>
                <w:tab w:val="left" w:pos="0"/>
              </w:tabs>
              <w:spacing w:line="360" w:lineRule="auto"/>
              <w:rPr>
                <w:rFonts w:ascii="宋体" w:hAnsi="宋体" w:cs="宋体"/>
                <w:kern w:val="0"/>
                <w:szCs w:val="21"/>
              </w:rPr>
            </w:pPr>
            <w:r>
              <w:rPr>
                <w:rFonts w:ascii="宋体" w:hAnsi="宋体"/>
                <w:kern w:val="0"/>
                <w:szCs w:val="21"/>
              </w:rPr>
              <w:t>2</w:t>
            </w:r>
            <w:r>
              <w:rPr>
                <w:rFonts w:hint="eastAsia" w:ascii="宋体" w:hAnsi="宋体" w:cs="宋体"/>
                <w:kern w:val="0"/>
                <w:szCs w:val="21"/>
              </w:rPr>
              <w:t>、供应商针对本项目涉及到的设备服务资质，如具有华为数据网</w:t>
            </w:r>
            <w:r>
              <w:rPr>
                <w:rFonts w:hint="eastAsia" w:ascii="宋体" w:hAnsi="宋体"/>
                <w:kern w:val="0"/>
                <w:szCs w:val="21"/>
              </w:rPr>
              <w:t>5</w:t>
            </w:r>
            <w:r>
              <w:rPr>
                <w:rFonts w:hint="eastAsia" w:ascii="宋体" w:hAnsi="宋体" w:cs="宋体"/>
                <w:kern w:val="0"/>
                <w:szCs w:val="21"/>
              </w:rPr>
              <w:t>钻认证服务商证书得</w:t>
            </w:r>
            <w:r>
              <w:rPr>
                <w:rFonts w:ascii="宋体" w:hAnsi="宋体"/>
                <w:kern w:val="0"/>
                <w:szCs w:val="21"/>
              </w:rPr>
              <w:t>3</w:t>
            </w:r>
            <w:r>
              <w:rPr>
                <w:rFonts w:hint="eastAsia" w:ascii="宋体" w:hAnsi="宋体" w:cs="宋体"/>
                <w:kern w:val="0"/>
                <w:szCs w:val="21"/>
              </w:rPr>
              <w:t>分，具有数据网</w:t>
            </w:r>
            <w:r>
              <w:rPr>
                <w:rFonts w:ascii="宋体" w:hAnsi="宋体"/>
                <w:kern w:val="0"/>
                <w:szCs w:val="21"/>
              </w:rPr>
              <w:t>4</w:t>
            </w:r>
            <w:r>
              <w:rPr>
                <w:rFonts w:hint="eastAsia" w:ascii="宋体" w:hAnsi="宋体" w:cs="宋体"/>
                <w:kern w:val="0"/>
                <w:szCs w:val="21"/>
              </w:rPr>
              <w:t>钻认证服务商得</w:t>
            </w:r>
            <w:r>
              <w:rPr>
                <w:rFonts w:ascii="宋体" w:hAnsi="宋体"/>
                <w:kern w:val="0"/>
                <w:szCs w:val="21"/>
              </w:rPr>
              <w:t>2</w:t>
            </w:r>
            <w:r>
              <w:rPr>
                <w:rFonts w:hint="eastAsia" w:ascii="宋体" w:hAnsi="宋体" w:cs="宋体"/>
                <w:kern w:val="0"/>
                <w:szCs w:val="21"/>
              </w:rPr>
              <w:t>分，具有数据网</w:t>
            </w:r>
            <w:r>
              <w:rPr>
                <w:rFonts w:ascii="宋体" w:hAnsi="宋体"/>
                <w:kern w:val="0"/>
                <w:szCs w:val="21"/>
              </w:rPr>
              <w:t>3</w:t>
            </w:r>
            <w:r>
              <w:rPr>
                <w:rFonts w:hint="eastAsia" w:ascii="宋体" w:hAnsi="宋体" w:cs="宋体"/>
                <w:kern w:val="0"/>
                <w:szCs w:val="21"/>
              </w:rPr>
              <w:t>钻认证服务商得</w:t>
            </w:r>
            <w:r>
              <w:rPr>
                <w:rFonts w:hint="eastAsia" w:ascii="宋体" w:hAnsi="宋体"/>
                <w:kern w:val="0"/>
                <w:szCs w:val="21"/>
              </w:rPr>
              <w:t>1</w:t>
            </w:r>
            <w:r>
              <w:rPr>
                <w:rFonts w:hint="eastAsia" w:ascii="宋体" w:hAnsi="宋体" w:cs="宋体"/>
                <w:kern w:val="0"/>
                <w:szCs w:val="21"/>
              </w:rPr>
              <w:t>分，没有不得分；最高为</w:t>
            </w:r>
            <w:r>
              <w:rPr>
                <w:rFonts w:ascii="宋体" w:hAnsi="宋体" w:cs="宋体"/>
                <w:kern w:val="0"/>
                <w:szCs w:val="21"/>
              </w:rPr>
              <w:t>3</w:t>
            </w:r>
            <w:r>
              <w:rPr>
                <w:rFonts w:hint="eastAsia" w:ascii="宋体" w:hAnsi="宋体" w:cs="宋体"/>
                <w:kern w:val="0"/>
                <w:szCs w:val="21"/>
              </w:rPr>
              <w:t>分</w:t>
            </w:r>
          </w:p>
          <w:p>
            <w:pPr>
              <w:autoSpaceDE w:val="0"/>
              <w:autoSpaceDN w:val="0"/>
              <w:spacing w:line="360" w:lineRule="auto"/>
              <w:rPr>
                <w:rFonts w:hAnsi="宋体" w:cs="宋体"/>
                <w:szCs w:val="21"/>
              </w:rPr>
            </w:pPr>
            <w:r>
              <w:rPr>
                <w:rFonts w:ascii="宋体" w:hAnsi="宋体" w:cs="宋体"/>
                <w:kern w:val="0"/>
                <w:szCs w:val="21"/>
              </w:rPr>
              <w:t>3</w:t>
            </w:r>
            <w:r>
              <w:rPr>
                <w:rFonts w:hint="eastAsia" w:ascii="宋体" w:hAnsi="宋体" w:cs="宋体"/>
                <w:kern w:val="0"/>
                <w:szCs w:val="21"/>
              </w:rPr>
              <w:t>、具有华为数据</w:t>
            </w:r>
            <w:r>
              <w:rPr>
                <w:rFonts w:hint="eastAsia" w:ascii="宋体" w:hAnsi="宋体"/>
                <w:kern w:val="0"/>
                <w:szCs w:val="21"/>
              </w:rPr>
              <w:t>HCIE</w:t>
            </w:r>
            <w:r>
              <w:rPr>
                <w:rFonts w:hint="eastAsia" w:ascii="宋体" w:hAnsi="宋体" w:cs="宋体"/>
                <w:kern w:val="0"/>
                <w:szCs w:val="21"/>
              </w:rPr>
              <w:t>工程师证书每个得</w:t>
            </w:r>
            <w:r>
              <w:rPr>
                <w:rFonts w:hint="eastAsia" w:ascii="宋体" w:hAnsi="宋体"/>
                <w:kern w:val="0"/>
                <w:szCs w:val="21"/>
              </w:rPr>
              <w:t>1</w:t>
            </w:r>
            <w:r>
              <w:rPr>
                <w:rFonts w:hint="eastAsia" w:ascii="宋体" w:hAnsi="宋体" w:cs="宋体"/>
                <w:kern w:val="0"/>
                <w:szCs w:val="21"/>
              </w:rPr>
              <w:t>分，具有数据</w:t>
            </w:r>
            <w:r>
              <w:rPr>
                <w:rFonts w:hint="eastAsia" w:ascii="宋体" w:hAnsi="宋体"/>
                <w:kern w:val="0"/>
                <w:szCs w:val="21"/>
              </w:rPr>
              <w:t>HCNP</w:t>
            </w:r>
            <w:r>
              <w:rPr>
                <w:rFonts w:hint="eastAsia" w:ascii="宋体" w:hAnsi="宋体" w:cs="宋体"/>
                <w:kern w:val="0"/>
                <w:szCs w:val="21"/>
              </w:rPr>
              <w:t>工程师证书每个得</w:t>
            </w:r>
            <w:r>
              <w:rPr>
                <w:rFonts w:hint="eastAsia" w:ascii="宋体" w:hAnsi="宋体"/>
                <w:kern w:val="0"/>
                <w:szCs w:val="21"/>
              </w:rPr>
              <w:t>0.5</w:t>
            </w:r>
            <w:r>
              <w:rPr>
                <w:rFonts w:hint="eastAsia" w:ascii="宋体" w:hAnsi="宋体" w:cs="宋体"/>
                <w:kern w:val="0"/>
                <w:szCs w:val="21"/>
              </w:rPr>
              <w:t>分，具有华为数据接入</w:t>
            </w:r>
            <w:r>
              <w:rPr>
                <w:rFonts w:hint="eastAsia" w:ascii="宋体" w:hAnsi="宋体"/>
                <w:kern w:val="0"/>
                <w:szCs w:val="21"/>
              </w:rPr>
              <w:t>HCNA</w:t>
            </w:r>
            <w:r>
              <w:rPr>
                <w:rFonts w:hint="eastAsia" w:ascii="宋体" w:hAnsi="宋体" w:cs="宋体"/>
                <w:kern w:val="0"/>
                <w:szCs w:val="21"/>
              </w:rPr>
              <w:t>工程师证书每个得</w:t>
            </w:r>
            <w:r>
              <w:rPr>
                <w:rFonts w:ascii="宋体" w:hAnsi="宋体"/>
                <w:kern w:val="0"/>
                <w:szCs w:val="21"/>
              </w:rPr>
              <w:t>0.5</w:t>
            </w:r>
            <w:r>
              <w:rPr>
                <w:rFonts w:hint="eastAsia" w:ascii="宋体" w:hAnsi="宋体" w:cs="宋体"/>
                <w:kern w:val="0"/>
                <w:szCs w:val="21"/>
              </w:rPr>
              <w:t>分；最高</w:t>
            </w:r>
            <w:r>
              <w:rPr>
                <w:rFonts w:ascii="宋体" w:hAnsi="宋体"/>
                <w:kern w:val="0"/>
                <w:szCs w:val="21"/>
              </w:rPr>
              <w:t>3</w:t>
            </w:r>
            <w:r>
              <w:rPr>
                <w:rFonts w:hint="eastAsia" w:ascii="宋体" w:hAnsi="宋体" w:cs="宋体"/>
                <w:kern w:val="0"/>
                <w:szCs w:val="21"/>
              </w:rPr>
              <w:t>分。</w:t>
            </w:r>
          </w:p>
        </w:tc>
      </w:tr>
    </w:tbl>
    <w:p>
      <w:pPr>
        <w:pStyle w:val="2"/>
        <w:ind w:left="0" w:firstLine="0"/>
      </w:pPr>
    </w:p>
    <w:p>
      <w:pPr>
        <w:pStyle w:val="2"/>
      </w:pPr>
    </w:p>
    <w:p>
      <w:pPr>
        <w:jc w:val="center"/>
        <w:rPr>
          <w:b/>
          <w:sz w:val="32"/>
        </w:rPr>
      </w:pPr>
      <w:r>
        <w:rPr>
          <w:b/>
          <w:sz w:val="32"/>
        </w:rPr>
        <w:br w:type="page"/>
      </w:r>
    </w:p>
    <w:p>
      <w:pPr>
        <w:pStyle w:val="66"/>
        <w:jc w:val="center"/>
      </w:pPr>
      <w:bookmarkStart w:id="13" w:name="_Toc166247622"/>
      <w:r>
        <w:rPr>
          <w:rFonts w:hint="eastAsia"/>
        </w:rPr>
        <w:t>第四章  合同</w:t>
      </w:r>
      <w:bookmarkEnd w:id="13"/>
    </w:p>
    <w:p>
      <w:pPr>
        <w:tabs>
          <w:tab w:val="left" w:pos="540"/>
        </w:tabs>
        <w:adjustRightInd w:val="0"/>
        <w:snapToGrid w:val="0"/>
        <w:spacing w:line="360" w:lineRule="auto"/>
        <w:jc w:val="center"/>
      </w:pPr>
      <w:r>
        <w:rPr>
          <w:rFonts w:hint="eastAsia"/>
        </w:rPr>
        <w:t xml:space="preserve"> </w:t>
      </w:r>
    </w:p>
    <w:p>
      <w:pPr>
        <w:jc w:val="center"/>
        <w:rPr>
          <w:rStyle w:val="41"/>
          <w:rFonts w:ascii="Times New Roman" w:hAnsi="Times New Roman" w:eastAsia="宋体" w:cs="Arial"/>
          <w:b w:val="0"/>
          <w:sz w:val="34"/>
          <w:szCs w:val="34"/>
        </w:rPr>
      </w:pPr>
      <w:r>
        <w:rPr>
          <w:rStyle w:val="41"/>
          <w:rFonts w:ascii="Times New Roman" w:hAnsi="Times New Roman" w:eastAsia="宋体" w:cs="Arial"/>
          <w:b w:val="0"/>
          <w:sz w:val="34"/>
          <w:szCs w:val="34"/>
        </w:rPr>
        <w:t>江苏省广电</w:t>
      </w:r>
      <w:r>
        <w:rPr>
          <w:rStyle w:val="41"/>
          <w:rFonts w:hint="eastAsia" w:ascii="Times New Roman" w:hAnsi="Times New Roman" w:eastAsia="宋体" w:cs="Arial"/>
          <w:b w:val="0"/>
          <w:sz w:val="34"/>
          <w:szCs w:val="34"/>
        </w:rPr>
        <w:t>有线</w:t>
      </w:r>
      <w:r>
        <w:rPr>
          <w:rStyle w:val="41"/>
          <w:rFonts w:ascii="Times New Roman" w:hAnsi="Times New Roman" w:eastAsia="宋体" w:cs="Arial"/>
          <w:b w:val="0"/>
          <w:sz w:val="34"/>
          <w:szCs w:val="34"/>
        </w:rPr>
        <w:t>信息网络股份有限公司</w:t>
      </w:r>
    </w:p>
    <w:p>
      <w:pPr>
        <w:jc w:val="center"/>
        <w:rPr>
          <w:rStyle w:val="41"/>
          <w:rFonts w:ascii="Times New Roman" w:hAnsi="Times New Roman" w:eastAsia="宋体" w:cs="Arial"/>
          <w:sz w:val="36"/>
          <w:szCs w:val="36"/>
        </w:rPr>
      </w:pPr>
      <w:r>
        <w:rPr>
          <w:rFonts w:hint="eastAsia" w:cs="Arial"/>
          <w:bCs/>
          <w:sz w:val="34"/>
          <w:szCs w:val="34"/>
        </w:rPr>
        <w:t>大塔机房设备和配套设备搬迁</w:t>
      </w:r>
    </w:p>
    <w:p>
      <w:pPr>
        <w:spacing w:line="360" w:lineRule="auto"/>
        <w:jc w:val="left"/>
        <w:rPr>
          <w:szCs w:val="21"/>
        </w:rPr>
      </w:pPr>
      <w:r>
        <w:rPr>
          <w:rFonts w:hint="eastAsia"/>
          <w:b/>
          <w:sz w:val="24"/>
        </w:rPr>
        <w:t xml:space="preserve"> </w:t>
      </w:r>
      <w:r>
        <w:rPr>
          <w:b/>
          <w:sz w:val="24"/>
        </w:rPr>
        <w:t xml:space="preserve">   </w:t>
      </w:r>
      <w:r>
        <w:rPr>
          <w:rFonts w:hint="eastAsia"/>
          <w:b/>
          <w:sz w:val="24"/>
        </w:rPr>
        <w:t>江苏省广电有线信息网络股份有限公司（以下简称“甲方”）</w:t>
      </w:r>
      <w:r>
        <w:rPr>
          <w:rFonts w:hint="eastAsia"/>
          <w:sz w:val="24"/>
        </w:rPr>
        <w:t>组织了竞争性谈判，经评定，</w:t>
      </w:r>
      <w:r>
        <w:rPr>
          <w:rFonts w:hint="eastAsia"/>
          <w:sz w:val="24"/>
          <w:u w:val="single"/>
        </w:rPr>
        <w:t>“大塔机房设备和配套设备搬迁”</w:t>
      </w:r>
      <w:r>
        <w:rPr>
          <w:rFonts w:hint="eastAsia"/>
          <w:sz w:val="24"/>
        </w:rPr>
        <w:t>项目最终由</w:t>
      </w:r>
      <w:r>
        <w:rPr>
          <w:rFonts w:hint="eastAsia"/>
          <w:sz w:val="24"/>
          <w:u w:val="single"/>
        </w:rPr>
        <w:t xml:space="preserve">                     </w:t>
      </w:r>
      <w:r>
        <w:rPr>
          <w:rFonts w:hint="eastAsia"/>
          <w:sz w:val="24"/>
        </w:rPr>
        <w:t xml:space="preserve">（以下简称“乙方”）中选。甲、乙双方根据竞争性谈判文件的规定，依法签订本合同。 </w:t>
      </w:r>
    </w:p>
    <w:p>
      <w:pPr>
        <w:pStyle w:val="67"/>
        <w:ind w:firstLine="440"/>
      </w:pPr>
      <w:bookmarkStart w:id="14" w:name="_Toc166246911"/>
      <w:r>
        <w:t>一、</w:t>
      </w:r>
      <w:r>
        <w:rPr>
          <w:rFonts w:hint="eastAsia"/>
        </w:rPr>
        <w:t>工程概况</w:t>
      </w:r>
      <w:bookmarkEnd w:id="14"/>
    </w:p>
    <w:p>
      <w:pPr>
        <w:widowControl/>
        <w:numPr>
          <w:ilvl w:val="0"/>
          <w:numId w:val="1"/>
        </w:numPr>
        <w:adjustRightInd w:val="0"/>
        <w:snapToGrid w:val="0"/>
        <w:spacing w:line="360" w:lineRule="auto"/>
        <w:ind w:firstLine="480" w:firstLineChars="200"/>
        <w:rPr>
          <w:sz w:val="24"/>
          <w:u w:val="single"/>
        </w:rPr>
      </w:pPr>
      <w:r>
        <w:rPr>
          <w:rFonts w:hint="eastAsia"/>
          <w:kern w:val="0"/>
          <w:sz w:val="24"/>
        </w:rPr>
        <w:t>工程名称：</w:t>
      </w:r>
      <w:r>
        <w:rPr>
          <w:rFonts w:hint="eastAsia"/>
          <w:szCs w:val="21"/>
        </w:rPr>
        <w:t>大塔机房设备和配套设备搬迁项目</w:t>
      </w:r>
    </w:p>
    <w:p>
      <w:pPr>
        <w:widowControl/>
        <w:adjustRightInd w:val="0"/>
        <w:snapToGrid w:val="0"/>
        <w:spacing w:line="360" w:lineRule="auto"/>
        <w:ind w:firstLine="480"/>
        <w:rPr>
          <w:sz w:val="24"/>
          <w:u w:val="single"/>
        </w:rPr>
      </w:pPr>
      <w:r>
        <w:rPr>
          <w:rFonts w:hint="eastAsia"/>
          <w:kern w:val="0"/>
          <w:sz w:val="24"/>
        </w:rPr>
        <w:t>2．工程地点：</w:t>
      </w:r>
      <w:r>
        <w:rPr>
          <w:rFonts w:hint="eastAsia"/>
          <w:szCs w:val="21"/>
        </w:rPr>
        <w:t>南京市鼓楼区石头城路118号江苏电视塔2楼机房及南京市玄武区运粮河西路101号江苏有线三网融合中心4号楼2-2机房</w:t>
      </w:r>
    </w:p>
    <w:p>
      <w:pPr>
        <w:widowControl/>
        <w:adjustRightInd w:val="0"/>
        <w:snapToGrid w:val="0"/>
        <w:spacing w:line="360" w:lineRule="auto"/>
        <w:ind w:firstLine="480"/>
        <w:rPr>
          <w:kern w:val="0"/>
          <w:sz w:val="24"/>
        </w:rPr>
      </w:pPr>
      <w:r>
        <w:rPr>
          <w:rFonts w:hint="eastAsia"/>
          <w:kern w:val="0"/>
          <w:sz w:val="24"/>
        </w:rPr>
        <w:t>工程范围和内容：（设备清单详见附件），</w:t>
      </w:r>
    </w:p>
    <w:tbl>
      <w:tblPr>
        <w:tblStyle w:val="24"/>
        <w:tblW w:w="8650" w:type="dxa"/>
        <w:jc w:val="center"/>
        <w:tblLayout w:type="fixed"/>
        <w:tblCellMar>
          <w:top w:w="0" w:type="dxa"/>
          <w:left w:w="108" w:type="dxa"/>
          <w:bottom w:w="0" w:type="dxa"/>
          <w:right w:w="108" w:type="dxa"/>
        </w:tblCellMar>
      </w:tblPr>
      <w:tblGrid>
        <w:gridCol w:w="1160"/>
        <w:gridCol w:w="2237"/>
        <w:gridCol w:w="993"/>
        <w:gridCol w:w="870"/>
        <w:gridCol w:w="1256"/>
        <w:gridCol w:w="1141"/>
        <w:gridCol w:w="993"/>
      </w:tblGrid>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b/>
                <w:bCs/>
                <w:color w:val="000000"/>
                <w:kern w:val="0"/>
                <w:sz w:val="22"/>
              </w:rPr>
            </w:pPr>
            <w:r>
              <w:rPr>
                <w:rFonts w:hint="eastAsia" w:cs="宋体"/>
                <w:b/>
                <w:bCs/>
                <w:color w:val="000000"/>
                <w:kern w:val="0"/>
                <w:sz w:val="22"/>
              </w:rPr>
              <w:t>序号</w:t>
            </w:r>
          </w:p>
        </w:tc>
        <w:tc>
          <w:tcPr>
            <w:tcW w:w="2237" w:type="dxa"/>
            <w:tcBorders>
              <w:top w:val="single" w:color="auto" w:sz="4" w:space="0"/>
              <w:left w:val="nil"/>
              <w:bottom w:val="single" w:color="auto" w:sz="4" w:space="0"/>
              <w:right w:val="single" w:color="auto" w:sz="4" w:space="0"/>
            </w:tcBorders>
            <w:noWrap/>
            <w:vAlign w:val="center"/>
          </w:tcPr>
          <w:p>
            <w:pPr>
              <w:widowControl/>
              <w:ind w:firstLine="442"/>
              <w:jc w:val="center"/>
              <w:rPr>
                <w:rFonts w:cs="宋体"/>
                <w:b/>
                <w:bCs/>
                <w:color w:val="000000"/>
                <w:kern w:val="0"/>
                <w:sz w:val="22"/>
              </w:rPr>
            </w:pPr>
            <w:r>
              <w:rPr>
                <w:rFonts w:hint="eastAsia" w:cs="宋体"/>
                <w:b/>
                <w:bCs/>
                <w:color w:val="000000"/>
                <w:kern w:val="0"/>
                <w:sz w:val="22"/>
              </w:rPr>
              <w:t>需搬迁设备</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cs="宋体"/>
                <w:b/>
                <w:bCs/>
                <w:color w:val="000000"/>
                <w:kern w:val="0"/>
                <w:sz w:val="22"/>
              </w:rPr>
            </w:pPr>
            <w:r>
              <w:rPr>
                <w:rFonts w:hint="eastAsia" w:cs="宋体"/>
                <w:b/>
                <w:bCs/>
                <w:color w:val="000000"/>
                <w:kern w:val="0"/>
                <w:sz w:val="22"/>
              </w:rPr>
              <w:t>需搬迁设备数量</w:t>
            </w:r>
          </w:p>
        </w:tc>
        <w:tc>
          <w:tcPr>
            <w:tcW w:w="870" w:type="dxa"/>
            <w:tcBorders>
              <w:top w:val="single" w:color="auto" w:sz="4" w:space="0"/>
              <w:left w:val="nil"/>
              <w:bottom w:val="single" w:color="auto" w:sz="4" w:space="0"/>
              <w:right w:val="single" w:color="auto" w:sz="4" w:space="0"/>
            </w:tcBorders>
            <w:noWrap/>
            <w:vAlign w:val="center"/>
          </w:tcPr>
          <w:p>
            <w:pPr>
              <w:widowControl/>
              <w:jc w:val="center"/>
              <w:rPr>
                <w:rFonts w:cs="宋体"/>
                <w:b/>
                <w:bCs/>
                <w:color w:val="000000"/>
                <w:kern w:val="0"/>
                <w:sz w:val="22"/>
              </w:rPr>
            </w:pPr>
            <w:r>
              <w:rPr>
                <w:rFonts w:hint="eastAsia" w:cs="宋体"/>
                <w:b/>
                <w:bCs/>
                <w:color w:val="000000"/>
                <w:kern w:val="0"/>
                <w:sz w:val="22"/>
              </w:rPr>
              <w:t>单位</w:t>
            </w:r>
          </w:p>
        </w:tc>
        <w:tc>
          <w:tcPr>
            <w:tcW w:w="1256" w:type="dxa"/>
            <w:tcBorders>
              <w:top w:val="single" w:color="auto" w:sz="4" w:space="0"/>
              <w:left w:val="nil"/>
              <w:bottom w:val="single" w:color="auto" w:sz="4" w:space="0"/>
              <w:right w:val="single" w:color="auto" w:sz="4" w:space="0"/>
            </w:tcBorders>
            <w:noWrap/>
            <w:vAlign w:val="center"/>
          </w:tcPr>
          <w:p>
            <w:pPr>
              <w:widowControl/>
              <w:ind w:firstLine="199" w:firstLineChars="90"/>
              <w:jc w:val="center"/>
              <w:rPr>
                <w:rFonts w:cs="宋体"/>
                <w:b/>
                <w:bCs/>
                <w:color w:val="000000"/>
                <w:kern w:val="0"/>
                <w:sz w:val="22"/>
              </w:rPr>
            </w:pPr>
            <w:r>
              <w:rPr>
                <w:rFonts w:hint="eastAsia" w:cs="宋体"/>
                <w:b/>
                <w:bCs/>
                <w:color w:val="000000"/>
                <w:kern w:val="0"/>
                <w:sz w:val="22"/>
              </w:rPr>
              <w:t>规格</w:t>
            </w:r>
          </w:p>
        </w:tc>
        <w:tc>
          <w:tcPr>
            <w:tcW w:w="1141" w:type="dxa"/>
            <w:tcBorders>
              <w:top w:val="single" w:color="auto" w:sz="4" w:space="0"/>
              <w:left w:val="nil"/>
              <w:bottom w:val="single" w:color="auto" w:sz="4" w:space="0"/>
              <w:right w:val="single" w:color="auto" w:sz="4" w:space="0"/>
            </w:tcBorders>
            <w:noWrap/>
            <w:vAlign w:val="center"/>
          </w:tcPr>
          <w:p>
            <w:pPr>
              <w:widowControl/>
              <w:jc w:val="center"/>
              <w:rPr>
                <w:rFonts w:cs="宋体"/>
                <w:b/>
                <w:bCs/>
                <w:color w:val="000000"/>
                <w:kern w:val="0"/>
                <w:sz w:val="22"/>
              </w:rPr>
            </w:pPr>
            <w:r>
              <w:rPr>
                <w:rFonts w:hint="eastAsia" w:cs="宋体"/>
                <w:b/>
                <w:bCs/>
                <w:color w:val="000000"/>
                <w:kern w:val="0"/>
                <w:sz w:val="22"/>
              </w:rPr>
              <w:t>搬迁服务费</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cs="宋体"/>
                <w:b/>
                <w:bCs/>
                <w:color w:val="000000"/>
                <w:kern w:val="0"/>
                <w:sz w:val="22"/>
              </w:rPr>
            </w:pPr>
            <w:r>
              <w:rPr>
                <w:rFonts w:hint="eastAsia" w:cs="宋体"/>
                <w:b/>
                <w:bCs/>
                <w:color w:val="000000"/>
                <w:kern w:val="0"/>
                <w:sz w:val="22"/>
              </w:rPr>
              <w:t>搬迁服务费小计</w:t>
            </w: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1</w:t>
            </w:r>
          </w:p>
        </w:tc>
        <w:tc>
          <w:tcPr>
            <w:tcW w:w="2237"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宽带出口系统</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65</w:t>
            </w:r>
          </w:p>
        </w:tc>
        <w:tc>
          <w:tcPr>
            <w:tcW w:w="870"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台</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2</w:t>
            </w:r>
          </w:p>
        </w:tc>
        <w:tc>
          <w:tcPr>
            <w:tcW w:w="2237"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DNS系统</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20</w:t>
            </w:r>
          </w:p>
        </w:tc>
        <w:tc>
          <w:tcPr>
            <w:tcW w:w="870"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台</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3</w:t>
            </w:r>
          </w:p>
        </w:tc>
        <w:tc>
          <w:tcPr>
            <w:tcW w:w="2237"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缓存系统</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11</w:t>
            </w:r>
          </w:p>
        </w:tc>
        <w:tc>
          <w:tcPr>
            <w:tcW w:w="870"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台</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4</w:t>
            </w:r>
          </w:p>
        </w:tc>
        <w:tc>
          <w:tcPr>
            <w:tcW w:w="2237" w:type="dxa"/>
            <w:tcBorders>
              <w:top w:val="nil"/>
              <w:left w:val="nil"/>
              <w:bottom w:val="single" w:color="auto" w:sz="4" w:space="0"/>
              <w:right w:val="single" w:color="auto" w:sz="4" w:space="0"/>
            </w:tcBorders>
            <w:noWrap/>
          </w:tcPr>
          <w:p>
            <w:pPr>
              <w:widowControl/>
              <w:jc w:val="center"/>
              <w:rPr>
                <w:rFonts w:cs="宋体"/>
                <w:color w:val="000000"/>
                <w:kern w:val="0"/>
                <w:sz w:val="22"/>
              </w:rPr>
            </w:pPr>
            <w:r>
              <w:rPr>
                <w:rFonts w:hint="eastAsia" w:cs="Arial"/>
                <w:color w:val="000000"/>
                <w:kern w:val="0"/>
                <w:sz w:val="20"/>
                <w:szCs w:val="20"/>
              </w:rPr>
              <w:t>网管系统</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10</w:t>
            </w:r>
          </w:p>
        </w:tc>
        <w:tc>
          <w:tcPr>
            <w:tcW w:w="870" w:type="dxa"/>
            <w:tcBorders>
              <w:top w:val="nil"/>
              <w:left w:val="nil"/>
              <w:bottom w:val="single" w:color="auto" w:sz="4" w:space="0"/>
              <w:right w:val="single" w:color="auto" w:sz="4" w:space="0"/>
            </w:tcBorders>
            <w:noWrap/>
          </w:tcPr>
          <w:p>
            <w:pPr>
              <w:widowControl/>
              <w:jc w:val="center"/>
              <w:rPr>
                <w:rFonts w:cs="宋体"/>
                <w:color w:val="000000"/>
                <w:kern w:val="0"/>
                <w:sz w:val="22"/>
              </w:rPr>
            </w:pPr>
            <w:r>
              <w:rPr>
                <w:rFonts w:hint="eastAsia" w:cs="宋体"/>
                <w:color w:val="000000"/>
                <w:kern w:val="0"/>
                <w:sz w:val="22"/>
              </w:rPr>
              <w:t>台</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5</w:t>
            </w:r>
          </w:p>
        </w:tc>
        <w:tc>
          <w:tcPr>
            <w:tcW w:w="2237" w:type="dxa"/>
            <w:tcBorders>
              <w:top w:val="nil"/>
              <w:left w:val="nil"/>
              <w:bottom w:val="single" w:color="auto" w:sz="4" w:space="0"/>
              <w:right w:val="single" w:color="auto" w:sz="4" w:space="0"/>
            </w:tcBorders>
            <w:noWrap/>
          </w:tcPr>
          <w:p>
            <w:pPr>
              <w:widowControl/>
              <w:jc w:val="center"/>
              <w:rPr>
                <w:rFonts w:cs="宋体"/>
                <w:color w:val="000000"/>
                <w:kern w:val="0"/>
                <w:sz w:val="22"/>
              </w:rPr>
            </w:pPr>
            <w:r>
              <w:rPr>
                <w:rFonts w:hint="eastAsia" w:cs="Arial"/>
                <w:color w:val="000000"/>
                <w:kern w:val="0"/>
                <w:sz w:val="20"/>
                <w:szCs w:val="20"/>
              </w:rPr>
              <w:t>大电视系统</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63</w:t>
            </w:r>
          </w:p>
        </w:tc>
        <w:tc>
          <w:tcPr>
            <w:tcW w:w="870" w:type="dxa"/>
            <w:tcBorders>
              <w:top w:val="nil"/>
              <w:left w:val="nil"/>
              <w:bottom w:val="single" w:color="auto" w:sz="4" w:space="0"/>
              <w:right w:val="single" w:color="auto" w:sz="4" w:space="0"/>
            </w:tcBorders>
            <w:noWrap/>
          </w:tcPr>
          <w:p>
            <w:pPr>
              <w:widowControl/>
              <w:jc w:val="center"/>
              <w:rPr>
                <w:rFonts w:cs="宋体"/>
                <w:color w:val="000000"/>
                <w:kern w:val="0"/>
                <w:sz w:val="22"/>
              </w:rPr>
            </w:pPr>
            <w:r>
              <w:rPr>
                <w:rFonts w:hint="eastAsia" w:cs="宋体"/>
                <w:color w:val="000000"/>
                <w:kern w:val="0"/>
                <w:sz w:val="22"/>
              </w:rPr>
              <w:t>台</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6</w:t>
            </w:r>
          </w:p>
        </w:tc>
        <w:tc>
          <w:tcPr>
            <w:tcW w:w="2237"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其他系统</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44</w:t>
            </w:r>
          </w:p>
        </w:tc>
        <w:tc>
          <w:tcPr>
            <w:tcW w:w="870"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台</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7</w:t>
            </w:r>
          </w:p>
        </w:tc>
        <w:tc>
          <w:tcPr>
            <w:tcW w:w="2237"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传输系统</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9</w:t>
            </w:r>
          </w:p>
        </w:tc>
        <w:tc>
          <w:tcPr>
            <w:tcW w:w="870"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台</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2"/>
              </w:rPr>
            </w:pPr>
            <w:r>
              <w:rPr>
                <w:rFonts w:hint="eastAsia" w:cs="宋体"/>
                <w:color w:val="000000"/>
                <w:kern w:val="0"/>
                <w:sz w:val="22"/>
              </w:rPr>
              <w:t>8</w:t>
            </w:r>
          </w:p>
        </w:tc>
        <w:tc>
          <w:tcPr>
            <w:tcW w:w="2237"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显示屏</w:t>
            </w:r>
          </w:p>
        </w:tc>
        <w:tc>
          <w:tcPr>
            <w:tcW w:w="993"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Arial"/>
                <w:color w:val="000000"/>
                <w:kern w:val="0"/>
                <w:sz w:val="20"/>
                <w:szCs w:val="20"/>
              </w:rPr>
              <w:t>12</w:t>
            </w:r>
          </w:p>
        </w:tc>
        <w:tc>
          <w:tcPr>
            <w:tcW w:w="870" w:type="dxa"/>
            <w:tcBorders>
              <w:top w:val="nil"/>
              <w:left w:val="nil"/>
              <w:bottom w:val="single" w:color="auto" w:sz="4" w:space="0"/>
              <w:right w:val="single" w:color="auto" w:sz="4" w:space="0"/>
            </w:tcBorders>
            <w:noWrap/>
            <w:vAlign w:val="center"/>
          </w:tcPr>
          <w:p>
            <w:pPr>
              <w:widowControl/>
              <w:jc w:val="center"/>
              <w:rPr>
                <w:rFonts w:cs="宋体"/>
                <w:color w:val="000000"/>
                <w:kern w:val="0"/>
                <w:sz w:val="22"/>
              </w:rPr>
            </w:pPr>
            <w:r>
              <w:rPr>
                <w:rFonts w:hint="eastAsia" w:cs="宋体"/>
                <w:color w:val="000000"/>
                <w:kern w:val="0"/>
                <w:sz w:val="22"/>
              </w:rPr>
              <w:t>块</w:t>
            </w: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cs="宋体"/>
                <w:color w:val="000000"/>
                <w:kern w:val="0"/>
                <w:sz w:val="22"/>
              </w:rPr>
            </w:pPr>
          </w:p>
        </w:tc>
        <w:tc>
          <w:tcPr>
            <w:tcW w:w="2237" w:type="dxa"/>
            <w:tcBorders>
              <w:top w:val="nil"/>
              <w:left w:val="nil"/>
              <w:bottom w:val="single" w:color="auto" w:sz="4" w:space="0"/>
              <w:right w:val="single" w:color="auto" w:sz="4" w:space="0"/>
            </w:tcBorders>
            <w:noWrap/>
            <w:vAlign w:val="center"/>
          </w:tcPr>
          <w:p>
            <w:pPr>
              <w:widowControl/>
              <w:ind w:firstLine="442"/>
              <w:jc w:val="center"/>
              <w:rPr>
                <w:rFonts w:cs="宋体"/>
                <w:b/>
                <w:bCs/>
                <w:color w:val="000000"/>
                <w:kern w:val="0"/>
                <w:sz w:val="22"/>
              </w:rPr>
            </w:pPr>
            <w:r>
              <w:rPr>
                <w:rFonts w:hint="eastAsia" w:cs="宋体"/>
                <w:b/>
                <w:bCs/>
                <w:color w:val="000000"/>
                <w:kern w:val="0"/>
                <w:sz w:val="22"/>
              </w:rPr>
              <w:t>其他</w:t>
            </w:r>
          </w:p>
        </w:tc>
        <w:tc>
          <w:tcPr>
            <w:tcW w:w="993" w:type="dxa"/>
            <w:tcBorders>
              <w:top w:val="nil"/>
              <w:left w:val="nil"/>
              <w:bottom w:val="single" w:color="auto" w:sz="4" w:space="0"/>
              <w:right w:val="single" w:color="auto" w:sz="4" w:space="0"/>
            </w:tcBorders>
            <w:noWrap/>
            <w:vAlign w:val="center"/>
          </w:tcPr>
          <w:p>
            <w:pPr>
              <w:widowControl/>
              <w:rPr>
                <w:rFonts w:cs="宋体"/>
                <w:b/>
                <w:bCs/>
                <w:color w:val="000000"/>
                <w:kern w:val="0"/>
                <w:sz w:val="22"/>
              </w:rPr>
            </w:pPr>
            <w:r>
              <w:rPr>
                <w:rFonts w:hint="eastAsia" w:cs="宋体"/>
                <w:b/>
                <w:bCs/>
                <w:color w:val="000000"/>
                <w:kern w:val="0"/>
                <w:sz w:val="22"/>
              </w:rPr>
              <w:t>数量</w:t>
            </w:r>
          </w:p>
        </w:tc>
        <w:tc>
          <w:tcPr>
            <w:tcW w:w="870" w:type="dxa"/>
            <w:tcBorders>
              <w:top w:val="nil"/>
              <w:left w:val="nil"/>
              <w:bottom w:val="single" w:color="auto" w:sz="4" w:space="0"/>
              <w:right w:val="single" w:color="auto" w:sz="4" w:space="0"/>
            </w:tcBorders>
            <w:noWrap/>
            <w:vAlign w:val="center"/>
          </w:tcPr>
          <w:p>
            <w:pPr>
              <w:widowControl/>
              <w:rPr>
                <w:rFonts w:cs="宋体"/>
                <w:b/>
                <w:bCs/>
                <w:color w:val="000000"/>
                <w:kern w:val="0"/>
                <w:sz w:val="22"/>
              </w:rPr>
            </w:pPr>
            <w:r>
              <w:rPr>
                <w:rFonts w:hint="eastAsia" w:cs="宋体"/>
                <w:b/>
                <w:bCs/>
                <w:color w:val="000000"/>
                <w:kern w:val="0"/>
                <w:sz w:val="22"/>
              </w:rPr>
              <w:t>单位</w:t>
            </w:r>
          </w:p>
        </w:tc>
        <w:tc>
          <w:tcPr>
            <w:tcW w:w="1256" w:type="dxa"/>
            <w:tcBorders>
              <w:top w:val="nil"/>
              <w:left w:val="nil"/>
              <w:bottom w:val="single" w:color="auto" w:sz="4" w:space="0"/>
              <w:right w:val="single" w:color="auto" w:sz="4" w:space="0"/>
            </w:tcBorders>
            <w:noWrap/>
            <w:vAlign w:val="center"/>
          </w:tcPr>
          <w:p>
            <w:pPr>
              <w:widowControl/>
              <w:ind w:firstLine="199" w:firstLineChars="90"/>
              <w:rPr>
                <w:rFonts w:cs="宋体"/>
                <w:b/>
                <w:bCs/>
                <w:color w:val="000000"/>
                <w:kern w:val="0"/>
                <w:sz w:val="22"/>
              </w:rPr>
            </w:pPr>
            <w:r>
              <w:rPr>
                <w:rFonts w:hint="eastAsia" w:cs="宋体"/>
                <w:b/>
                <w:bCs/>
                <w:color w:val="000000"/>
                <w:kern w:val="0"/>
                <w:sz w:val="22"/>
              </w:rPr>
              <w:t>规格</w:t>
            </w:r>
          </w:p>
        </w:tc>
        <w:tc>
          <w:tcPr>
            <w:tcW w:w="1141" w:type="dxa"/>
            <w:tcBorders>
              <w:top w:val="nil"/>
              <w:left w:val="nil"/>
              <w:bottom w:val="single" w:color="auto" w:sz="4" w:space="0"/>
              <w:right w:val="single" w:color="auto" w:sz="4" w:space="0"/>
            </w:tcBorders>
            <w:noWrap/>
            <w:vAlign w:val="center"/>
          </w:tcPr>
          <w:p>
            <w:pPr>
              <w:widowControl/>
              <w:ind w:firstLine="199" w:firstLineChars="90"/>
              <w:rPr>
                <w:rFonts w:cs="宋体"/>
                <w:b/>
                <w:bCs/>
                <w:color w:val="000000"/>
                <w:kern w:val="0"/>
                <w:sz w:val="22"/>
              </w:rPr>
            </w:pPr>
            <w:r>
              <w:rPr>
                <w:rFonts w:hint="eastAsia" w:cs="宋体"/>
                <w:b/>
                <w:bCs/>
                <w:color w:val="000000"/>
                <w:kern w:val="0"/>
                <w:sz w:val="22"/>
              </w:rPr>
              <w:t>单价</w:t>
            </w:r>
          </w:p>
        </w:tc>
        <w:tc>
          <w:tcPr>
            <w:tcW w:w="993" w:type="dxa"/>
            <w:tcBorders>
              <w:top w:val="nil"/>
              <w:left w:val="nil"/>
              <w:bottom w:val="single" w:color="auto" w:sz="4" w:space="0"/>
              <w:right w:val="single" w:color="auto" w:sz="4" w:space="0"/>
            </w:tcBorders>
            <w:noWrap/>
            <w:vAlign w:val="center"/>
          </w:tcPr>
          <w:p>
            <w:pPr>
              <w:widowControl/>
              <w:rPr>
                <w:rFonts w:cs="宋体"/>
                <w:b/>
                <w:bCs/>
                <w:color w:val="000000"/>
                <w:kern w:val="0"/>
                <w:sz w:val="22"/>
              </w:rPr>
            </w:pPr>
            <w:r>
              <w:rPr>
                <w:rFonts w:hint="eastAsia" w:cs="宋体"/>
                <w:b/>
                <w:bCs/>
                <w:color w:val="000000"/>
                <w:kern w:val="0"/>
                <w:sz w:val="22"/>
              </w:rPr>
              <w:t>小计</w:t>
            </w: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widowControl/>
              <w:rPr>
                <w:rFonts w:cs="宋体"/>
                <w:color w:val="000000"/>
                <w:kern w:val="0"/>
                <w:sz w:val="22"/>
              </w:rPr>
            </w:pPr>
            <w:r>
              <w:rPr>
                <w:rFonts w:hint="eastAsia" w:cs="宋体"/>
                <w:color w:val="000000"/>
                <w:kern w:val="0"/>
                <w:sz w:val="22"/>
              </w:rPr>
              <w:t>工勘费</w:t>
            </w:r>
          </w:p>
        </w:tc>
        <w:tc>
          <w:tcPr>
            <w:tcW w:w="2237"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r>
              <w:rPr>
                <w:rFonts w:hint="eastAsia" w:cs="宋体"/>
                <w:color w:val="000000"/>
                <w:kern w:val="0"/>
                <w:sz w:val="22"/>
              </w:rPr>
              <w:t>　</w:t>
            </w: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870"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noWrap/>
            <w:vAlign w:val="center"/>
          </w:tcPr>
          <w:p>
            <w:pPr>
              <w:widowControl/>
              <w:rPr>
                <w:rFonts w:cs="宋体"/>
                <w:color w:val="000000"/>
                <w:kern w:val="0"/>
                <w:sz w:val="22"/>
              </w:rPr>
            </w:pPr>
            <w:r>
              <w:rPr>
                <w:rFonts w:hint="eastAsia" w:cs="宋体"/>
                <w:color w:val="000000"/>
                <w:kern w:val="0"/>
                <w:sz w:val="22"/>
              </w:rPr>
              <w:t>辅材费</w:t>
            </w:r>
          </w:p>
        </w:tc>
        <w:tc>
          <w:tcPr>
            <w:tcW w:w="2237"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r>
              <w:rPr>
                <w:rFonts w:hint="eastAsia" w:cs="宋体"/>
                <w:color w:val="000000"/>
                <w:kern w:val="0"/>
                <w:sz w:val="22"/>
              </w:rPr>
              <w:t>　</w:t>
            </w: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870"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noWrap/>
            <w:vAlign w:val="center"/>
          </w:tcPr>
          <w:p>
            <w:pPr>
              <w:widowControl/>
              <w:rPr>
                <w:rFonts w:cs="宋体"/>
                <w:color w:val="000000"/>
                <w:kern w:val="0"/>
                <w:sz w:val="22"/>
              </w:rPr>
            </w:pPr>
            <w:r>
              <w:rPr>
                <w:rFonts w:hint="eastAsia" w:cs="宋体"/>
                <w:color w:val="000000"/>
                <w:kern w:val="0"/>
                <w:sz w:val="22"/>
              </w:rPr>
              <w:t>电源线</w:t>
            </w:r>
          </w:p>
        </w:tc>
        <w:tc>
          <w:tcPr>
            <w:tcW w:w="2237" w:type="dxa"/>
            <w:tcBorders>
              <w:top w:val="nil"/>
              <w:left w:val="nil"/>
              <w:bottom w:val="single" w:color="auto" w:sz="4" w:space="0"/>
              <w:right w:val="single" w:color="auto" w:sz="4" w:space="0"/>
            </w:tcBorders>
            <w:vAlign w:val="center"/>
          </w:tcPr>
          <w:p>
            <w:pPr>
              <w:widowControl/>
              <w:ind w:firstLine="400"/>
              <w:jc w:val="center"/>
              <w:rPr>
                <w:rFonts w:cs="宋体"/>
                <w:color w:val="000000"/>
                <w:kern w:val="0"/>
                <w:sz w:val="20"/>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870"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noWrap/>
            <w:vAlign w:val="center"/>
          </w:tcPr>
          <w:p>
            <w:pPr>
              <w:widowControl/>
              <w:rPr>
                <w:rFonts w:cs="宋体"/>
                <w:color w:val="000000"/>
                <w:kern w:val="0"/>
                <w:sz w:val="22"/>
              </w:rPr>
            </w:pPr>
            <w:r>
              <w:rPr>
                <w:rFonts w:hint="eastAsia" w:cs="宋体"/>
                <w:color w:val="000000"/>
                <w:kern w:val="0"/>
                <w:sz w:val="22"/>
              </w:rPr>
              <w:t>光纤</w:t>
            </w:r>
          </w:p>
        </w:tc>
        <w:tc>
          <w:tcPr>
            <w:tcW w:w="2237"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870"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256"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1141"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nil"/>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noWrap/>
            <w:vAlign w:val="center"/>
          </w:tcPr>
          <w:p>
            <w:pPr>
              <w:widowControl/>
              <w:rPr>
                <w:rFonts w:cs="宋体"/>
                <w:color w:val="000000"/>
                <w:kern w:val="0"/>
                <w:sz w:val="22"/>
              </w:rPr>
            </w:pPr>
            <w:r>
              <w:rPr>
                <w:rFonts w:hint="eastAsia" w:cs="宋体"/>
                <w:color w:val="000000"/>
                <w:kern w:val="0"/>
                <w:sz w:val="22"/>
              </w:rPr>
              <w:t>网线</w:t>
            </w:r>
          </w:p>
        </w:tc>
        <w:tc>
          <w:tcPr>
            <w:tcW w:w="2237" w:type="dxa"/>
            <w:tcBorders>
              <w:top w:val="single" w:color="auto" w:sz="4" w:space="0"/>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single" w:color="auto" w:sz="4" w:space="0"/>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870" w:type="dxa"/>
            <w:tcBorders>
              <w:top w:val="single" w:color="auto" w:sz="4" w:space="0"/>
              <w:left w:val="nil"/>
              <w:bottom w:val="single" w:color="auto" w:sz="4" w:space="0"/>
              <w:right w:val="single" w:color="auto" w:sz="4" w:space="0"/>
            </w:tcBorders>
            <w:noWrap/>
            <w:vAlign w:val="center"/>
          </w:tcPr>
          <w:p>
            <w:pPr>
              <w:widowControl/>
              <w:ind w:firstLine="440"/>
              <w:jc w:val="center"/>
              <w:rPr>
                <w:rFonts w:cs="宋体"/>
                <w:color w:val="000000"/>
                <w:kern w:val="0"/>
                <w:sz w:val="22"/>
              </w:rPr>
            </w:pPr>
            <w:r>
              <w:rPr>
                <w:rFonts w:hint="eastAsia" w:cs="宋体"/>
                <w:color w:val="000000"/>
                <w:kern w:val="0"/>
                <w:sz w:val="22"/>
              </w:rPr>
              <w:t>　</w:t>
            </w:r>
          </w:p>
        </w:tc>
        <w:tc>
          <w:tcPr>
            <w:tcW w:w="1256" w:type="dxa"/>
            <w:tcBorders>
              <w:top w:val="single" w:color="auto" w:sz="4" w:space="0"/>
              <w:left w:val="nil"/>
              <w:bottom w:val="single" w:color="auto" w:sz="4" w:space="0"/>
              <w:right w:val="single" w:color="auto" w:sz="4" w:space="0"/>
            </w:tcBorders>
            <w:noWrap/>
            <w:vAlign w:val="center"/>
          </w:tcPr>
          <w:p>
            <w:pPr>
              <w:widowControl/>
              <w:ind w:firstLine="440"/>
              <w:jc w:val="center"/>
              <w:rPr>
                <w:rFonts w:cs="宋体"/>
                <w:color w:val="000000"/>
                <w:kern w:val="0"/>
                <w:sz w:val="22"/>
              </w:rPr>
            </w:pPr>
            <w:r>
              <w:rPr>
                <w:rFonts w:hint="eastAsia" w:cs="宋体"/>
                <w:color w:val="000000"/>
                <w:kern w:val="0"/>
                <w:sz w:val="22"/>
              </w:rPr>
              <w:t>　</w:t>
            </w:r>
          </w:p>
        </w:tc>
        <w:tc>
          <w:tcPr>
            <w:tcW w:w="1141" w:type="dxa"/>
            <w:tcBorders>
              <w:top w:val="single" w:color="auto" w:sz="4" w:space="0"/>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c>
          <w:tcPr>
            <w:tcW w:w="993" w:type="dxa"/>
            <w:tcBorders>
              <w:top w:val="single" w:color="auto" w:sz="4" w:space="0"/>
              <w:left w:val="nil"/>
              <w:bottom w:val="single" w:color="auto" w:sz="4" w:space="0"/>
              <w:right w:val="single" w:color="auto" w:sz="4" w:space="0"/>
            </w:tcBorders>
            <w:noWrap/>
            <w:vAlign w:val="center"/>
          </w:tcPr>
          <w:p>
            <w:pPr>
              <w:widowControl/>
              <w:ind w:firstLine="440"/>
              <w:jc w:val="center"/>
              <w:rPr>
                <w:rFonts w:cs="宋体"/>
                <w:color w:val="000000"/>
                <w:kern w:val="0"/>
                <w:sz w:val="22"/>
              </w:rPr>
            </w:pPr>
          </w:p>
        </w:tc>
      </w:tr>
      <w:tr>
        <w:trPr>
          <w:trHeight w:val="435" w:hRule="atLeast"/>
          <w:jc w:val="center"/>
        </w:trPr>
        <w:tc>
          <w:tcPr>
            <w:tcW w:w="7657" w:type="dxa"/>
            <w:gridSpan w:val="6"/>
            <w:tcBorders>
              <w:top w:val="single" w:color="auto" w:sz="4" w:space="0"/>
              <w:left w:val="single" w:color="auto" w:sz="4" w:space="0"/>
              <w:bottom w:val="single" w:color="auto" w:sz="4" w:space="0"/>
              <w:right w:val="single" w:color="auto" w:sz="4" w:space="0"/>
            </w:tcBorders>
            <w:noWrap/>
            <w:vAlign w:val="center"/>
          </w:tcPr>
          <w:p>
            <w:pPr>
              <w:widowControl/>
              <w:ind w:firstLine="442"/>
              <w:jc w:val="center"/>
              <w:rPr>
                <w:rFonts w:cs="宋体"/>
                <w:b/>
                <w:bCs/>
                <w:color w:val="000000"/>
                <w:kern w:val="0"/>
                <w:sz w:val="22"/>
              </w:rPr>
            </w:pPr>
            <w:r>
              <w:rPr>
                <w:rFonts w:hint="eastAsia" w:cs="宋体"/>
                <w:b/>
                <w:bCs/>
                <w:color w:val="000000"/>
                <w:kern w:val="0"/>
                <w:sz w:val="22"/>
              </w:rPr>
              <w:t>总计</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ind w:firstLine="442"/>
              <w:jc w:val="center"/>
              <w:rPr>
                <w:rFonts w:cs="宋体"/>
                <w:b/>
                <w:bCs/>
                <w:color w:val="000000"/>
                <w:kern w:val="0"/>
                <w:sz w:val="22"/>
              </w:rPr>
            </w:pPr>
          </w:p>
        </w:tc>
      </w:tr>
    </w:tbl>
    <w:p>
      <w:pPr>
        <w:pStyle w:val="67"/>
        <w:ind w:firstLine="440"/>
      </w:pPr>
      <w:bookmarkStart w:id="15" w:name="_Toc166246912"/>
      <w:r>
        <w:t>二、</w:t>
      </w:r>
      <w:r>
        <w:rPr>
          <w:rFonts w:hint="eastAsia"/>
        </w:rPr>
        <w:t>工程期限</w:t>
      </w:r>
      <w:bookmarkEnd w:id="15"/>
    </w:p>
    <w:p>
      <w:pPr>
        <w:widowControl/>
        <w:adjustRightInd w:val="0"/>
        <w:snapToGrid w:val="0"/>
        <w:spacing w:line="360" w:lineRule="auto"/>
        <w:ind w:firstLine="480"/>
        <w:rPr>
          <w:kern w:val="0"/>
          <w:sz w:val="24"/>
        </w:rPr>
      </w:pPr>
      <w:r>
        <w:rPr>
          <w:rFonts w:hint="eastAsia"/>
          <w:kern w:val="0"/>
          <w:sz w:val="24"/>
        </w:rPr>
        <w:t>本工程开工日期为xx年</w:t>
      </w:r>
      <w:r>
        <w:rPr>
          <w:kern w:val="0"/>
          <w:sz w:val="24"/>
        </w:rPr>
        <w:t>xx</w:t>
      </w:r>
      <w:r>
        <w:rPr>
          <w:rFonts w:hint="eastAsia"/>
          <w:kern w:val="0"/>
          <w:sz w:val="24"/>
        </w:rPr>
        <w:t>月</w:t>
      </w:r>
      <w:r>
        <w:rPr>
          <w:kern w:val="0"/>
          <w:sz w:val="24"/>
        </w:rPr>
        <w:t>xx</w:t>
      </w:r>
      <w:r>
        <w:rPr>
          <w:rFonts w:hint="eastAsia"/>
          <w:kern w:val="0"/>
          <w:sz w:val="24"/>
        </w:rPr>
        <w:t>日，竣工日期为</w:t>
      </w:r>
      <w:r>
        <w:rPr>
          <w:kern w:val="0"/>
          <w:sz w:val="24"/>
        </w:rPr>
        <w:t>xx</w:t>
      </w:r>
      <w:r>
        <w:rPr>
          <w:rFonts w:hint="eastAsia"/>
          <w:kern w:val="0"/>
          <w:sz w:val="24"/>
        </w:rPr>
        <w:t>年</w:t>
      </w:r>
      <w:r>
        <w:rPr>
          <w:kern w:val="0"/>
          <w:sz w:val="24"/>
        </w:rPr>
        <w:t>xx</w:t>
      </w:r>
      <w:r>
        <w:rPr>
          <w:rFonts w:hint="eastAsia"/>
          <w:kern w:val="0"/>
          <w:sz w:val="24"/>
        </w:rPr>
        <w:t>月</w:t>
      </w:r>
      <w:r>
        <w:rPr>
          <w:kern w:val="0"/>
          <w:sz w:val="24"/>
        </w:rPr>
        <w:t>xx</w:t>
      </w:r>
      <w:r>
        <w:rPr>
          <w:rFonts w:hint="eastAsia"/>
          <w:kern w:val="0"/>
          <w:sz w:val="24"/>
        </w:rPr>
        <w:t>日。</w:t>
      </w:r>
    </w:p>
    <w:p>
      <w:pPr>
        <w:pStyle w:val="67"/>
        <w:ind w:firstLine="440"/>
      </w:pPr>
      <w:r>
        <w:t>三、</w:t>
      </w:r>
      <w:r>
        <w:rPr>
          <w:rFonts w:hint="eastAsia"/>
        </w:rPr>
        <w:t>工程价款的结算与支付</w:t>
      </w:r>
    </w:p>
    <w:p>
      <w:pPr>
        <w:adjustRightInd w:val="0"/>
        <w:snapToGrid w:val="0"/>
        <w:spacing w:line="360" w:lineRule="auto"/>
        <w:ind w:firstLine="480"/>
        <w:rPr>
          <w:sz w:val="24"/>
        </w:rPr>
      </w:pPr>
      <w:r>
        <w:rPr>
          <w:rFonts w:hint="eastAsia"/>
          <w:sz w:val="24"/>
        </w:rPr>
        <w:t>1．本合同工程总价格为</w:t>
      </w:r>
      <w:r>
        <w:rPr>
          <w:sz w:val="24"/>
          <w:u w:val="single"/>
        </w:rPr>
        <w:t xml:space="preserve">¥     </w:t>
      </w:r>
      <w:r>
        <w:rPr>
          <w:rFonts w:hint="eastAsia"/>
          <w:sz w:val="24"/>
        </w:rPr>
        <w:t>元人民币（大写：</w:t>
      </w:r>
      <w:r>
        <w:rPr>
          <w:rFonts w:hint="eastAsia"/>
          <w:sz w:val="24"/>
          <w:u w:val="single"/>
        </w:rPr>
        <w:t xml:space="preserve"> </w:t>
      </w:r>
      <w:r>
        <w:rPr>
          <w:sz w:val="24"/>
          <w:u w:val="single"/>
        </w:rPr>
        <w:t xml:space="preserve">      </w:t>
      </w:r>
      <w:r>
        <w:rPr>
          <w:rFonts w:hint="eastAsia"/>
          <w:sz w:val="24"/>
        </w:rPr>
        <w:t>）。</w:t>
      </w:r>
    </w:p>
    <w:p>
      <w:pPr>
        <w:adjustRightInd w:val="0"/>
        <w:snapToGrid w:val="0"/>
        <w:spacing w:line="360" w:lineRule="auto"/>
        <w:ind w:firstLine="480"/>
        <w:rPr>
          <w:sz w:val="24"/>
        </w:rPr>
      </w:pPr>
      <w:r>
        <w:rPr>
          <w:rFonts w:hint="eastAsia"/>
          <w:sz w:val="24"/>
        </w:rPr>
        <w:t>本合同中甲乙双方之间发生的一切费用均以人民币结算及支付。</w:t>
      </w:r>
    </w:p>
    <w:p>
      <w:pPr>
        <w:adjustRightInd w:val="0"/>
        <w:snapToGrid w:val="0"/>
        <w:spacing w:line="360" w:lineRule="auto"/>
        <w:ind w:left="210" w:leftChars="100" w:firstLine="240" w:firstLineChars="100"/>
        <w:rPr>
          <w:sz w:val="24"/>
        </w:rPr>
      </w:pPr>
      <w:r>
        <w:rPr>
          <w:rFonts w:hint="eastAsia"/>
          <w:sz w:val="24"/>
        </w:rPr>
        <w:t>2.合同付款进度</w:t>
      </w:r>
    </w:p>
    <w:p>
      <w:pPr>
        <w:adjustRightInd w:val="0"/>
        <w:snapToGrid w:val="0"/>
        <w:spacing w:line="360" w:lineRule="auto"/>
        <w:ind w:firstLine="480"/>
        <w:rPr>
          <w:sz w:val="24"/>
        </w:rPr>
      </w:pPr>
      <w:r>
        <w:rPr>
          <w:rFonts w:hint="eastAsia"/>
          <w:sz w:val="24"/>
        </w:rPr>
        <w:t>合同生效后，乙方并完成方案制作，乙方应向甲方提供增值税专用服务发票，甲方应在收到乙方开据的发票后十五个工作日内，向乙方支付合同总价的30%；设备搬迁完毕并通过甲方的验收（以双方签署验收报告时间为准）后十五个工作日内，甲方应向乙方支付合同总价的70%。</w:t>
      </w:r>
    </w:p>
    <w:p>
      <w:pPr>
        <w:widowControl/>
        <w:adjustRightInd w:val="0"/>
        <w:snapToGrid w:val="0"/>
        <w:spacing w:line="360" w:lineRule="auto"/>
        <w:ind w:firstLine="480"/>
        <w:rPr>
          <w:kern w:val="0"/>
          <w:sz w:val="24"/>
        </w:rPr>
      </w:pPr>
      <w:r>
        <w:rPr>
          <w:rFonts w:hint="eastAsia"/>
          <w:sz w:val="24"/>
        </w:rPr>
        <w:t>3.甲乙双方的帐户名称、开户银行、银行帐号以本合同提供的为准，如有变更，变更方应在合同约定的相关付款期限15日前以加盖财务专用章的书面文件的原件通知对方。</w:t>
      </w:r>
      <w:r>
        <w:rPr>
          <w:rFonts w:hint="eastAsia"/>
          <w:kern w:val="0"/>
          <w:sz w:val="24"/>
        </w:rPr>
        <w:t>　</w:t>
      </w:r>
    </w:p>
    <w:p>
      <w:pPr>
        <w:pStyle w:val="67"/>
        <w:ind w:firstLine="440"/>
      </w:pPr>
      <w:r>
        <w:t>四、</w:t>
      </w:r>
      <w:r>
        <w:rPr>
          <w:rFonts w:hint="eastAsia"/>
        </w:rPr>
        <w:t>甲方权利和义务</w:t>
      </w:r>
    </w:p>
    <w:p>
      <w:pPr>
        <w:widowControl/>
        <w:adjustRightInd w:val="0"/>
        <w:snapToGrid w:val="0"/>
        <w:spacing w:line="360" w:lineRule="auto"/>
        <w:ind w:firstLine="480"/>
        <w:rPr>
          <w:kern w:val="0"/>
          <w:sz w:val="24"/>
        </w:rPr>
      </w:pPr>
      <w:r>
        <w:rPr>
          <w:rFonts w:hint="eastAsia"/>
          <w:kern w:val="0"/>
          <w:sz w:val="24"/>
        </w:rPr>
        <w:t>1．组织工程建设项目的技术交底，向乙方明确施工任务；</w:t>
      </w:r>
    </w:p>
    <w:p>
      <w:pPr>
        <w:widowControl/>
        <w:adjustRightInd w:val="0"/>
        <w:snapToGrid w:val="0"/>
        <w:spacing w:line="360" w:lineRule="auto"/>
        <w:ind w:firstLine="480"/>
        <w:rPr>
          <w:kern w:val="0"/>
          <w:sz w:val="24"/>
        </w:rPr>
      </w:pPr>
      <w:r>
        <w:rPr>
          <w:rFonts w:hint="eastAsia"/>
          <w:kern w:val="0"/>
          <w:sz w:val="24"/>
        </w:rPr>
        <w:t>2．提供必要的施工条件；</w:t>
      </w:r>
    </w:p>
    <w:p>
      <w:pPr>
        <w:widowControl/>
        <w:adjustRightInd w:val="0"/>
        <w:snapToGrid w:val="0"/>
        <w:spacing w:line="360" w:lineRule="auto"/>
        <w:ind w:firstLine="480"/>
        <w:rPr>
          <w:kern w:val="0"/>
          <w:sz w:val="24"/>
        </w:rPr>
      </w:pPr>
      <w:r>
        <w:rPr>
          <w:rFonts w:hint="eastAsia"/>
          <w:kern w:val="0"/>
          <w:sz w:val="24"/>
        </w:rPr>
        <w:t>3．负责工程材料的供应；</w:t>
      </w:r>
    </w:p>
    <w:p>
      <w:pPr>
        <w:widowControl/>
        <w:adjustRightInd w:val="0"/>
        <w:snapToGrid w:val="0"/>
        <w:spacing w:line="360" w:lineRule="auto"/>
        <w:ind w:firstLine="480"/>
        <w:rPr>
          <w:kern w:val="0"/>
          <w:sz w:val="24"/>
        </w:rPr>
      </w:pPr>
      <w:r>
        <w:rPr>
          <w:rFonts w:hint="eastAsia"/>
          <w:kern w:val="0"/>
          <w:sz w:val="24"/>
        </w:rPr>
        <w:t>4．指派甲方代表对建设工程项目进行全面协调和监督检查；</w:t>
      </w:r>
    </w:p>
    <w:p>
      <w:pPr>
        <w:widowControl/>
        <w:adjustRightInd w:val="0"/>
        <w:snapToGrid w:val="0"/>
        <w:spacing w:line="360" w:lineRule="auto"/>
        <w:ind w:firstLine="480"/>
        <w:rPr>
          <w:kern w:val="0"/>
          <w:sz w:val="24"/>
        </w:rPr>
      </w:pPr>
      <w:r>
        <w:rPr>
          <w:rFonts w:hint="eastAsia"/>
          <w:kern w:val="0"/>
          <w:sz w:val="24"/>
        </w:rPr>
        <w:t>5. 在乙方提供全套竣工资料和书面竣工验收报告后会同有关部门及时组织验收；</w:t>
      </w:r>
    </w:p>
    <w:p>
      <w:pPr>
        <w:widowControl/>
        <w:adjustRightInd w:val="0"/>
        <w:snapToGrid w:val="0"/>
        <w:spacing w:line="360" w:lineRule="auto"/>
        <w:ind w:firstLine="480"/>
        <w:rPr>
          <w:kern w:val="0"/>
          <w:sz w:val="24"/>
        </w:rPr>
      </w:pPr>
      <w:r>
        <w:rPr>
          <w:rFonts w:hint="eastAsia"/>
          <w:kern w:val="0"/>
          <w:sz w:val="24"/>
        </w:rPr>
        <w:t>6．按合同约定按时向乙方支付工程款。</w:t>
      </w:r>
    </w:p>
    <w:p>
      <w:pPr>
        <w:pStyle w:val="67"/>
        <w:ind w:firstLine="440"/>
      </w:pPr>
      <w:r>
        <w:rPr>
          <w:rFonts w:hint="eastAsia"/>
        </w:rPr>
        <w:t>五</w:t>
      </w:r>
      <w:r>
        <w:t>、</w:t>
      </w:r>
      <w:r>
        <w:rPr>
          <w:rFonts w:hint="eastAsia"/>
        </w:rPr>
        <w:t>乙方权利和义务</w:t>
      </w:r>
    </w:p>
    <w:p>
      <w:pPr>
        <w:widowControl/>
        <w:adjustRightInd w:val="0"/>
        <w:snapToGrid w:val="0"/>
        <w:spacing w:line="360" w:lineRule="auto"/>
        <w:ind w:firstLine="480" w:firstLineChars="200"/>
        <w:rPr>
          <w:kern w:val="0"/>
          <w:sz w:val="24"/>
        </w:rPr>
      </w:pPr>
      <w:r>
        <w:rPr>
          <w:rFonts w:hint="eastAsia"/>
          <w:kern w:val="0"/>
          <w:sz w:val="24"/>
        </w:rPr>
        <w:t>1. 必须具有经国家有关部门批准的通信行业施工资质，并向甲方提供企业（或公司）施工资质证书、企业基本情况等相关资料；</w:t>
      </w:r>
    </w:p>
    <w:p>
      <w:pPr>
        <w:widowControl/>
        <w:adjustRightInd w:val="0"/>
        <w:snapToGrid w:val="0"/>
        <w:spacing w:line="360" w:lineRule="auto"/>
        <w:ind w:firstLine="480"/>
        <w:rPr>
          <w:kern w:val="0"/>
          <w:sz w:val="24"/>
        </w:rPr>
      </w:pPr>
      <w:r>
        <w:rPr>
          <w:rFonts w:hint="eastAsia"/>
          <w:kern w:val="0"/>
          <w:sz w:val="24"/>
        </w:rPr>
        <w:t>2．精心组织施工管理人员、施工人员、材料、施工机械进场施工；</w:t>
      </w:r>
    </w:p>
    <w:p>
      <w:pPr>
        <w:widowControl/>
        <w:adjustRightInd w:val="0"/>
        <w:snapToGrid w:val="0"/>
        <w:spacing w:line="360" w:lineRule="auto"/>
        <w:ind w:firstLine="480"/>
        <w:rPr>
          <w:kern w:val="0"/>
          <w:sz w:val="24"/>
        </w:rPr>
      </w:pPr>
      <w:r>
        <w:rPr>
          <w:rFonts w:hint="eastAsia"/>
          <w:kern w:val="0"/>
          <w:sz w:val="24"/>
        </w:rPr>
        <w:t>3．合理组织施工，编制施工方案、施工总进度计划、材料供应计划，并在施工前送甲方备案；</w:t>
      </w:r>
    </w:p>
    <w:p>
      <w:pPr>
        <w:widowControl/>
        <w:adjustRightInd w:val="0"/>
        <w:snapToGrid w:val="0"/>
        <w:spacing w:line="360" w:lineRule="auto"/>
        <w:ind w:firstLine="480"/>
        <w:rPr>
          <w:kern w:val="0"/>
          <w:sz w:val="24"/>
        </w:rPr>
      </w:pPr>
      <w:r>
        <w:rPr>
          <w:rFonts w:hint="eastAsia"/>
          <w:kern w:val="0"/>
          <w:sz w:val="24"/>
        </w:rPr>
        <w:t>4．严格按设计文件及操作规范等技术要求等规范施工；</w:t>
      </w:r>
    </w:p>
    <w:p>
      <w:pPr>
        <w:widowControl/>
        <w:adjustRightInd w:val="0"/>
        <w:snapToGrid w:val="0"/>
        <w:spacing w:line="360" w:lineRule="auto"/>
        <w:ind w:firstLine="480"/>
        <w:rPr>
          <w:kern w:val="0"/>
          <w:sz w:val="24"/>
        </w:rPr>
      </w:pPr>
      <w:r>
        <w:rPr>
          <w:rFonts w:hint="eastAsia"/>
          <w:kern w:val="0"/>
          <w:sz w:val="24"/>
        </w:rPr>
        <w:t>5．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widowControl/>
        <w:adjustRightInd w:val="0"/>
        <w:snapToGrid w:val="0"/>
        <w:spacing w:line="360" w:lineRule="auto"/>
        <w:ind w:firstLine="480"/>
        <w:rPr>
          <w:kern w:val="0"/>
          <w:sz w:val="24"/>
        </w:rPr>
      </w:pPr>
      <w:r>
        <w:rPr>
          <w:rFonts w:hint="eastAsia"/>
          <w:kern w:val="0"/>
          <w:sz w:val="24"/>
        </w:rPr>
        <w:t>6．做好设备搬运的各项工作，由有搬迁资质和经验的搬迁队伍完成设备搬运，搬运时采用必要的保护措施，搬运过程中由专人全程负责搬运设备的监控和安全管理，负责因搬运不当造成的设备损失。乙方承担所有产品的运输、装卸和保险等费用；</w:t>
      </w:r>
    </w:p>
    <w:p>
      <w:pPr>
        <w:widowControl/>
        <w:adjustRightInd w:val="0"/>
        <w:snapToGrid w:val="0"/>
        <w:spacing w:line="360" w:lineRule="auto"/>
        <w:ind w:firstLine="480"/>
        <w:rPr>
          <w:kern w:val="0"/>
          <w:sz w:val="24"/>
        </w:rPr>
      </w:pPr>
      <w:r>
        <w:rPr>
          <w:rFonts w:hint="eastAsia"/>
          <w:kern w:val="0"/>
          <w:sz w:val="24"/>
        </w:rPr>
        <w:t>7．施工过程中必须严格遵守安全操作规程，采取必要的安全防护措施，消除事故隐患，切实做好安全生产工作。乙方应为其人员提供相应劳动保护，非因甲方原因，乙方人员遭受人身、财产损害，或乙方人员造成甲方、第三人人身财产损害的，由乙方承担全部责任。</w:t>
      </w:r>
    </w:p>
    <w:p>
      <w:pPr>
        <w:pStyle w:val="67"/>
        <w:ind w:firstLine="440"/>
      </w:pPr>
      <w:r>
        <w:rPr>
          <w:rFonts w:hint="eastAsia"/>
        </w:rPr>
        <w:t>六</w:t>
      </w:r>
      <w:r>
        <w:t>、</w:t>
      </w:r>
      <w:r>
        <w:rPr>
          <w:rFonts w:hint="eastAsia"/>
        </w:rPr>
        <w:t>竣工验收</w:t>
      </w:r>
    </w:p>
    <w:p>
      <w:pPr>
        <w:pStyle w:val="7"/>
        <w:adjustRightInd w:val="0"/>
        <w:snapToGrid w:val="0"/>
        <w:spacing w:line="360" w:lineRule="auto"/>
        <w:ind w:firstLine="480"/>
        <w:jc w:val="both"/>
        <w:rPr>
          <w:sz w:val="24"/>
        </w:rPr>
      </w:pPr>
      <w:r>
        <w:rPr>
          <w:rFonts w:hint="eastAsia"/>
          <w:sz w:val="24"/>
        </w:rPr>
        <w:t>1.甲乙双方认为以下情况均可以视为乙方完成合格工程：</w:t>
      </w:r>
    </w:p>
    <w:p>
      <w:pPr>
        <w:pStyle w:val="38"/>
        <w:numPr>
          <w:ilvl w:val="0"/>
          <w:numId w:val="2"/>
        </w:numPr>
        <w:adjustRightInd w:val="0"/>
        <w:snapToGrid w:val="0"/>
        <w:spacing w:line="360" w:lineRule="auto"/>
        <w:ind w:hanging="494" w:firstLineChars="0"/>
        <w:rPr>
          <w:sz w:val="24"/>
        </w:rPr>
      </w:pPr>
      <w:r>
        <w:rPr>
          <w:rFonts w:hint="eastAsia"/>
          <w:sz w:val="24"/>
        </w:rPr>
        <w:t>甲方未提出整改意见，并且事实上已经开始正常使用；</w:t>
      </w:r>
    </w:p>
    <w:p>
      <w:pPr>
        <w:widowControl/>
        <w:adjustRightInd w:val="0"/>
        <w:snapToGrid w:val="0"/>
        <w:spacing w:line="360" w:lineRule="auto"/>
        <w:ind w:firstLine="480"/>
        <w:rPr>
          <w:kern w:val="0"/>
          <w:sz w:val="24"/>
        </w:rPr>
      </w:pPr>
      <w:r>
        <w:rPr>
          <w:rFonts w:hint="eastAsia"/>
          <w:kern w:val="0"/>
          <w:sz w:val="24"/>
        </w:rPr>
        <w:t>2．甲方收到乙方提供的全套竣工资料和书面竣工验收报告后会同有关部门及时组织验收，验收以施工图纸、图说、技术交底纪要、设计更改通知、国家颁发的施工验收规范和质量检验标准为依据。</w:t>
      </w:r>
    </w:p>
    <w:p>
      <w:pPr>
        <w:widowControl/>
        <w:adjustRightInd w:val="0"/>
        <w:snapToGrid w:val="0"/>
        <w:spacing w:line="360" w:lineRule="auto"/>
        <w:ind w:firstLine="480"/>
        <w:rPr>
          <w:kern w:val="0"/>
          <w:sz w:val="24"/>
        </w:rPr>
      </w:pPr>
      <w:r>
        <w:rPr>
          <w:rFonts w:hint="eastAsia"/>
          <w:kern w:val="0"/>
          <w:sz w:val="24"/>
        </w:rPr>
        <w:t>3．验收合格后，双方签署竣工验收通过的文件，并将工程移交给甲方管理。验收中如发现有不符质量要求的，由乙方负责修改再进行验收。竣工日期以验收通过的日期为准。</w:t>
      </w:r>
    </w:p>
    <w:p>
      <w:pPr>
        <w:adjustRightInd w:val="0"/>
        <w:snapToGrid w:val="0"/>
        <w:spacing w:line="360" w:lineRule="auto"/>
        <w:ind w:firstLine="480"/>
        <w:rPr>
          <w:kern w:val="0"/>
          <w:sz w:val="24"/>
        </w:rPr>
      </w:pPr>
      <w:r>
        <w:rPr>
          <w:rFonts w:hint="eastAsia"/>
          <w:kern w:val="0"/>
          <w:sz w:val="24"/>
        </w:rPr>
        <w:t>4、乙方可以提供7×24小时热线服务和现场支持服务，所产生的费用，由甲乙方双方协商付款金额和付款方式。</w:t>
      </w:r>
    </w:p>
    <w:p>
      <w:pPr>
        <w:pStyle w:val="67"/>
        <w:ind w:firstLine="440"/>
      </w:pPr>
      <w:r>
        <w:rPr>
          <w:rFonts w:hint="eastAsia"/>
        </w:rPr>
        <w:t>七、合同解除</w:t>
      </w:r>
    </w:p>
    <w:p>
      <w:pPr>
        <w:adjustRightInd w:val="0"/>
        <w:snapToGrid w:val="0"/>
        <w:spacing w:line="360" w:lineRule="auto"/>
        <w:ind w:firstLine="480"/>
        <w:rPr>
          <w:kern w:val="0"/>
          <w:sz w:val="24"/>
        </w:rPr>
      </w:pPr>
      <w:r>
        <w:rPr>
          <w:rFonts w:hint="eastAsia"/>
          <w:kern w:val="0"/>
          <w:sz w:val="24"/>
        </w:rPr>
        <w:t>1．双方协商同意可解除本合同。</w:t>
      </w:r>
    </w:p>
    <w:p>
      <w:pPr>
        <w:widowControl/>
        <w:adjustRightInd w:val="0"/>
        <w:snapToGrid w:val="0"/>
        <w:spacing w:line="360" w:lineRule="auto"/>
        <w:ind w:firstLine="480"/>
        <w:rPr>
          <w:kern w:val="0"/>
          <w:sz w:val="24"/>
        </w:rPr>
      </w:pPr>
      <w:r>
        <w:rPr>
          <w:rFonts w:hint="eastAsia"/>
          <w:kern w:val="0"/>
          <w:sz w:val="24"/>
        </w:rPr>
        <w:t>2. 有下列情形之一的，甲方、乙方可以解除合同：</w:t>
      </w:r>
    </w:p>
    <w:p>
      <w:pPr>
        <w:pStyle w:val="38"/>
        <w:widowControl/>
        <w:numPr>
          <w:ilvl w:val="0"/>
          <w:numId w:val="3"/>
        </w:numPr>
        <w:adjustRightInd w:val="0"/>
        <w:snapToGrid w:val="0"/>
        <w:spacing w:line="360" w:lineRule="auto"/>
        <w:ind w:left="424" w:leftChars="202" w:firstLine="0" w:firstLineChars="0"/>
        <w:rPr>
          <w:kern w:val="0"/>
          <w:sz w:val="24"/>
        </w:rPr>
      </w:pPr>
      <w:r>
        <w:rPr>
          <w:rFonts w:hint="eastAsia"/>
          <w:sz w:val="24"/>
        </w:rPr>
        <w:t>因不可抗力（包括因战争、动乱、空中飞行物体坠落或其它非甲乙方责任造成的爆炸、火灾，以及协议条款约定等级以上的风、雨、雪、震等对工程造成损害的自然灾害）</w:t>
      </w:r>
      <w:r>
        <w:rPr>
          <w:rFonts w:hint="eastAsia"/>
          <w:kern w:val="0"/>
          <w:sz w:val="24"/>
        </w:rPr>
        <w:t>致使合同无法履行；</w:t>
      </w:r>
    </w:p>
    <w:p>
      <w:pPr>
        <w:pStyle w:val="38"/>
        <w:widowControl/>
        <w:numPr>
          <w:ilvl w:val="0"/>
          <w:numId w:val="3"/>
        </w:numPr>
        <w:adjustRightInd w:val="0"/>
        <w:snapToGrid w:val="0"/>
        <w:spacing w:line="360" w:lineRule="auto"/>
        <w:ind w:left="424" w:leftChars="202" w:firstLine="0" w:firstLineChars="0"/>
        <w:rPr>
          <w:sz w:val="24"/>
        </w:rPr>
      </w:pPr>
      <w:r>
        <w:rPr>
          <w:rFonts w:hint="eastAsia"/>
          <w:sz w:val="24"/>
        </w:rPr>
        <w:t>因一方严重违约致使合同无法履行。</w:t>
      </w:r>
    </w:p>
    <w:p>
      <w:pPr>
        <w:widowControl/>
        <w:adjustRightInd w:val="0"/>
        <w:snapToGrid w:val="0"/>
        <w:spacing w:line="360" w:lineRule="auto"/>
        <w:ind w:firstLine="480"/>
        <w:rPr>
          <w:kern w:val="0"/>
          <w:sz w:val="24"/>
        </w:rPr>
      </w:pPr>
      <w:r>
        <w:rPr>
          <w:rFonts w:hint="eastAsia"/>
          <w:kern w:val="0"/>
          <w:sz w:val="24"/>
        </w:rPr>
        <w:t>3．一方依据本条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pStyle w:val="67"/>
        <w:ind w:firstLine="440"/>
      </w:pPr>
      <w:r>
        <w:rPr>
          <w:rFonts w:hint="eastAsia"/>
        </w:rPr>
        <w:t>八</w:t>
      </w:r>
      <w:r>
        <w:t>、</w:t>
      </w:r>
      <w:r>
        <w:rPr>
          <w:rFonts w:hint="eastAsia"/>
        </w:rPr>
        <w:t>违约和索赔</w:t>
      </w:r>
    </w:p>
    <w:p>
      <w:pPr>
        <w:adjustRightInd w:val="0"/>
        <w:snapToGrid w:val="0"/>
        <w:spacing w:line="360" w:lineRule="auto"/>
        <w:ind w:firstLine="480"/>
        <w:rPr>
          <w:sz w:val="24"/>
        </w:rPr>
      </w:pPr>
      <w:r>
        <w:rPr>
          <w:rFonts w:hint="eastAsia"/>
          <w:sz w:val="24"/>
        </w:rPr>
        <w:t>1.甲方违约责任</w:t>
      </w:r>
    </w:p>
    <w:p>
      <w:pPr>
        <w:pStyle w:val="38"/>
        <w:numPr>
          <w:ilvl w:val="0"/>
          <w:numId w:val="4"/>
        </w:numPr>
        <w:adjustRightInd w:val="0"/>
        <w:snapToGrid w:val="0"/>
        <w:spacing w:line="360" w:lineRule="auto"/>
        <w:ind w:left="424" w:leftChars="202" w:firstLine="0" w:firstLineChars="0"/>
        <w:rPr>
          <w:sz w:val="24"/>
        </w:rPr>
      </w:pPr>
      <w:r>
        <w:rPr>
          <w:rFonts w:hint="eastAsia"/>
          <w:sz w:val="24"/>
        </w:rPr>
        <w:t>因甲方原因不能按合同规定的时间及时付款，则每延迟付款一天，甲方应按欠款金额的万分之四向乙方支付违约金，最高不超过本工程总承包费的10%。</w:t>
      </w:r>
    </w:p>
    <w:p>
      <w:pPr>
        <w:pStyle w:val="38"/>
        <w:numPr>
          <w:ilvl w:val="0"/>
          <w:numId w:val="4"/>
        </w:numPr>
        <w:adjustRightInd w:val="0"/>
        <w:snapToGrid w:val="0"/>
        <w:spacing w:line="360" w:lineRule="auto"/>
        <w:ind w:firstLineChars="0"/>
        <w:rPr>
          <w:sz w:val="24"/>
        </w:rPr>
      </w:pPr>
      <w:r>
        <w:rPr>
          <w:rFonts w:hint="eastAsia"/>
          <w:sz w:val="24"/>
        </w:rPr>
        <w:t>因甲方原因造成工期延误，乙方对此不承担责任，工期自动顺延。</w:t>
      </w:r>
    </w:p>
    <w:p>
      <w:pPr>
        <w:pStyle w:val="38"/>
        <w:numPr>
          <w:ilvl w:val="0"/>
          <w:numId w:val="4"/>
        </w:numPr>
        <w:adjustRightInd w:val="0"/>
        <w:snapToGrid w:val="0"/>
        <w:spacing w:line="360" w:lineRule="auto"/>
        <w:ind w:firstLineChars="0"/>
        <w:rPr>
          <w:sz w:val="24"/>
        </w:rPr>
      </w:pPr>
      <w:r>
        <w:rPr>
          <w:rFonts w:hint="eastAsia"/>
          <w:sz w:val="24"/>
        </w:rPr>
        <w:t xml:space="preserve">在本合同履行期间，若甲方没有完全履行其责任和义务，经合理催告后仍未履行的，则被视为对乙违约，甲方应赔偿乙方因此造成的直接损失。 </w:t>
      </w:r>
    </w:p>
    <w:p>
      <w:pPr>
        <w:adjustRightInd w:val="0"/>
        <w:snapToGrid w:val="0"/>
        <w:spacing w:line="360" w:lineRule="auto"/>
        <w:ind w:firstLine="480"/>
        <w:rPr>
          <w:sz w:val="24"/>
        </w:rPr>
      </w:pPr>
      <w:r>
        <w:rPr>
          <w:rFonts w:hint="eastAsia"/>
          <w:sz w:val="24"/>
        </w:rPr>
        <w:t>2.乙方违约责任</w:t>
      </w:r>
    </w:p>
    <w:p>
      <w:pPr>
        <w:pStyle w:val="52"/>
        <w:numPr>
          <w:ilvl w:val="0"/>
          <w:numId w:val="5"/>
        </w:numPr>
        <w:tabs>
          <w:tab w:val="left" w:pos="0"/>
          <w:tab w:val="left" w:pos="510"/>
          <w:tab w:val="left" w:pos="567"/>
          <w:tab w:val="left" w:pos="601"/>
        </w:tabs>
        <w:snapToGrid w:val="0"/>
        <w:spacing w:line="360" w:lineRule="auto"/>
        <w:jc w:val="both"/>
        <w:rPr>
          <w:kern w:val="2"/>
          <w:szCs w:val="24"/>
        </w:rPr>
      </w:pPr>
      <w:r>
        <w:rPr>
          <w:rFonts w:hint="eastAsia"/>
          <w:kern w:val="2"/>
          <w:szCs w:val="24"/>
        </w:rPr>
        <w:t>如因乙方原因造成工期延误，则乙方应向甲方支付工期违约金，工期违约金按延误天数以每天本工程总承包费的日万分之五计算，最高不超过本工程总承包费的10%。逾期超过3</w:t>
      </w:r>
      <w:r>
        <w:rPr>
          <w:kern w:val="2"/>
          <w:szCs w:val="24"/>
        </w:rPr>
        <w:t>0</w:t>
      </w:r>
      <w:r>
        <w:rPr>
          <w:rFonts w:hint="eastAsia"/>
          <w:kern w:val="2"/>
          <w:szCs w:val="24"/>
        </w:rPr>
        <w:t>日，甲方有权单方面解除合同，乙方应另行支付乙方本工程总承包费的2</w:t>
      </w:r>
      <w:r>
        <w:rPr>
          <w:kern w:val="2"/>
          <w:szCs w:val="24"/>
        </w:rPr>
        <w:t>0</w:t>
      </w:r>
      <w:r>
        <w:rPr>
          <w:rFonts w:hint="eastAsia"/>
          <w:kern w:val="2"/>
          <w:szCs w:val="24"/>
        </w:rPr>
        <w:t>%作为违约金，同时赔偿因此给甲方造成的全部损失。</w:t>
      </w:r>
    </w:p>
    <w:p>
      <w:pPr>
        <w:pStyle w:val="52"/>
        <w:numPr>
          <w:ilvl w:val="0"/>
          <w:numId w:val="5"/>
        </w:numPr>
        <w:tabs>
          <w:tab w:val="left" w:pos="0"/>
          <w:tab w:val="left" w:pos="510"/>
          <w:tab w:val="left" w:pos="567"/>
          <w:tab w:val="left" w:pos="601"/>
        </w:tabs>
        <w:snapToGrid w:val="0"/>
        <w:spacing w:line="360" w:lineRule="auto"/>
        <w:jc w:val="both"/>
        <w:rPr>
          <w:kern w:val="2"/>
          <w:szCs w:val="24"/>
        </w:rPr>
      </w:pPr>
      <w:r>
        <w:rPr>
          <w:rFonts w:hint="eastAsia"/>
          <w:kern w:val="2"/>
          <w:szCs w:val="24"/>
        </w:rPr>
        <w:t>在合同履行期间如用户因乙方的工程质量等因素向甲方提出投诉，则被视为对甲方的名誉造成损失，乙方需向甲方书面道歉并支付赔偿金，赔偿金的总额不超过本工程总承包费的10%。</w:t>
      </w:r>
    </w:p>
    <w:p>
      <w:pPr>
        <w:pStyle w:val="38"/>
        <w:numPr>
          <w:ilvl w:val="0"/>
          <w:numId w:val="5"/>
        </w:numPr>
        <w:tabs>
          <w:tab w:val="left" w:pos="425"/>
        </w:tabs>
        <w:adjustRightInd w:val="0"/>
        <w:snapToGrid w:val="0"/>
        <w:spacing w:line="360" w:lineRule="auto"/>
        <w:ind w:firstLineChars="0"/>
        <w:rPr>
          <w:sz w:val="24"/>
        </w:rPr>
      </w:pPr>
      <w:r>
        <w:rPr>
          <w:rFonts w:hint="eastAsia"/>
          <w:sz w:val="24"/>
        </w:rPr>
        <w:t>在本合同履行期间，若乙方没有完全履行其责任和义务，则被视为对甲方的违约，乙方应向甲方支付违约金，违约金的总额不超过本工程总承包费10%。</w:t>
      </w:r>
    </w:p>
    <w:p>
      <w:pPr>
        <w:pStyle w:val="67"/>
        <w:ind w:firstLine="440"/>
      </w:pPr>
      <w:r>
        <w:rPr>
          <w:rFonts w:hint="eastAsia"/>
        </w:rPr>
        <w:t>九</w:t>
      </w:r>
      <w:r>
        <w:t>、</w:t>
      </w:r>
      <w:r>
        <w:rPr>
          <w:rFonts w:hint="eastAsia"/>
        </w:rPr>
        <w:t>争议解决方式</w:t>
      </w:r>
    </w:p>
    <w:p>
      <w:pPr>
        <w:widowControl/>
        <w:adjustRightInd w:val="0"/>
        <w:snapToGrid w:val="0"/>
        <w:spacing w:line="360" w:lineRule="auto"/>
        <w:ind w:firstLine="480"/>
        <w:rPr>
          <w:kern w:val="0"/>
          <w:sz w:val="24"/>
        </w:rPr>
      </w:pPr>
      <w:r>
        <w:rPr>
          <w:rFonts w:hint="eastAsia"/>
          <w:kern w:val="0"/>
          <w:sz w:val="24"/>
        </w:rPr>
        <w:t>在履行合同时发生争议，双方协商解决，或向工程所在地有管辖权的人民法院起诉。</w:t>
      </w:r>
    </w:p>
    <w:p>
      <w:pPr>
        <w:pStyle w:val="67"/>
        <w:ind w:firstLine="440"/>
      </w:pPr>
      <w:r>
        <w:rPr>
          <w:rFonts w:hint="eastAsia"/>
        </w:rPr>
        <w:t>十</w:t>
      </w:r>
      <w:r>
        <w:t>、</w:t>
      </w:r>
      <w:r>
        <w:rPr>
          <w:rFonts w:hint="eastAsia"/>
          <w:kern w:val="0"/>
        </w:rPr>
        <w:t>其他</w:t>
      </w:r>
    </w:p>
    <w:p>
      <w:pPr>
        <w:widowControl/>
        <w:adjustRightInd w:val="0"/>
        <w:snapToGrid w:val="0"/>
        <w:spacing w:line="360" w:lineRule="auto"/>
        <w:ind w:firstLine="480"/>
        <w:rPr>
          <w:kern w:val="0"/>
          <w:sz w:val="24"/>
        </w:rPr>
      </w:pPr>
      <w:r>
        <w:rPr>
          <w:rFonts w:hint="eastAsia"/>
          <w:kern w:val="0"/>
          <w:sz w:val="24"/>
        </w:rPr>
        <w:t>1．本合同未尽事项，双方另行签订补充协议，补充协议与本合同具有同等效力；</w:t>
      </w:r>
    </w:p>
    <w:p>
      <w:pPr>
        <w:widowControl/>
        <w:adjustRightInd w:val="0"/>
        <w:snapToGrid w:val="0"/>
        <w:spacing w:line="360" w:lineRule="auto"/>
        <w:ind w:firstLine="480"/>
        <w:rPr>
          <w:kern w:val="0"/>
          <w:sz w:val="24"/>
        </w:rPr>
      </w:pPr>
      <w:r>
        <w:rPr>
          <w:rFonts w:hint="eastAsia"/>
          <w:kern w:val="0"/>
          <w:sz w:val="24"/>
        </w:rPr>
        <w:t>2．本合同一式肆份，甲乙双方各执两份，每份均具有同等法律效力，合同经双方盖章后生效。</w:t>
      </w:r>
    </w:p>
    <w:p>
      <w:pPr>
        <w:widowControl/>
        <w:adjustRightInd w:val="0"/>
        <w:snapToGrid w:val="0"/>
        <w:spacing w:line="360" w:lineRule="auto"/>
        <w:ind w:firstLine="480"/>
        <w:rPr>
          <w:kern w:val="0"/>
          <w:sz w:val="24"/>
        </w:rPr>
      </w:pPr>
      <w:r>
        <w:rPr>
          <w:rFonts w:hint="eastAsia"/>
          <w:kern w:val="0"/>
          <w:sz w:val="24"/>
        </w:rPr>
        <w:t>（以下无正文）</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ind w:firstLine="420"/>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widowControl/>
        <w:ind w:firstLine="420"/>
        <w:jc w:val="left"/>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jc w:val="left"/>
        <w:rPr>
          <w:szCs w:val="21"/>
        </w:rPr>
      </w:pPr>
    </w:p>
    <w:p>
      <w:pPr>
        <w:widowControl/>
        <w:jc w:val="left"/>
        <w:rPr>
          <w:szCs w:val="21"/>
        </w:rPr>
      </w:pPr>
      <w:r>
        <w:rPr>
          <w:szCs w:val="21"/>
        </w:rPr>
        <w:br w:type="page"/>
      </w:r>
    </w:p>
    <w:p>
      <w:pPr>
        <w:widowControl/>
        <w:jc w:val="left"/>
        <w:rPr>
          <w:szCs w:val="21"/>
        </w:rPr>
      </w:pPr>
      <w:r>
        <w:rPr>
          <w:szCs w:val="21"/>
        </w:rPr>
        <w:t>附件</w:t>
      </w:r>
      <w:r>
        <w:rPr>
          <w:rFonts w:hint="eastAsia"/>
          <w:szCs w:val="21"/>
        </w:rPr>
        <w:t>1：设备清单</w:t>
      </w:r>
    </w:p>
    <w:tbl>
      <w:tblPr>
        <w:tblStyle w:val="24"/>
        <w:tblW w:w="8112" w:type="dxa"/>
        <w:tblInd w:w="96" w:type="dxa"/>
        <w:tblLayout w:type="fixed"/>
        <w:tblCellMar>
          <w:top w:w="0" w:type="dxa"/>
          <w:left w:w="108" w:type="dxa"/>
          <w:bottom w:w="0" w:type="dxa"/>
          <w:right w:w="108" w:type="dxa"/>
        </w:tblCellMar>
      </w:tblPr>
      <w:tblGrid>
        <w:gridCol w:w="892"/>
        <w:gridCol w:w="2693"/>
        <w:gridCol w:w="850"/>
        <w:gridCol w:w="851"/>
        <w:gridCol w:w="850"/>
        <w:gridCol w:w="851"/>
        <w:gridCol w:w="1125"/>
      </w:tblGrid>
      <w:tr>
        <w:tblPrEx>
          <w:tblCellMar>
            <w:top w:w="0" w:type="dxa"/>
            <w:left w:w="108" w:type="dxa"/>
            <w:bottom w:w="0" w:type="dxa"/>
            <w:right w:w="108" w:type="dxa"/>
          </w:tblCellMar>
        </w:tblPrEx>
        <w:trPr>
          <w:trHeight w:val="671"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color w:val="000000"/>
                <w:sz w:val="22"/>
              </w:rPr>
            </w:pPr>
            <w:r>
              <w:rPr>
                <w:rFonts w:hint="eastAsia" w:cs="宋体"/>
                <w:b/>
                <w:bCs/>
                <w:color w:val="000000"/>
                <w:kern w:val="0"/>
                <w:sz w:val="22"/>
                <w:lang w:bidi="ar"/>
              </w:rPr>
              <w:t>需搬迁系统</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color w:val="000000"/>
                <w:sz w:val="22"/>
              </w:rPr>
            </w:pPr>
            <w:r>
              <w:rPr>
                <w:rFonts w:hint="eastAsia" w:cs="宋体"/>
                <w:b/>
                <w:bCs/>
                <w:color w:val="000000"/>
                <w:kern w:val="0"/>
                <w:sz w:val="22"/>
                <w:lang w:bidi="ar"/>
              </w:rPr>
              <w:t>需搬迁设备</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b/>
                <w:bCs/>
                <w:color w:val="000000"/>
                <w:sz w:val="22"/>
              </w:rPr>
            </w:pPr>
            <w:r>
              <w:rPr>
                <w:rFonts w:hint="eastAsia" w:cs="宋体"/>
                <w:b/>
                <w:bCs/>
                <w:color w:val="000000"/>
                <w:kern w:val="0"/>
                <w:sz w:val="22"/>
                <w:lang w:bidi="ar"/>
              </w:rPr>
              <w:t>需搬迁</w:t>
            </w:r>
            <w:r>
              <w:rPr>
                <w:rFonts w:hint="eastAsia" w:cs="宋体"/>
                <w:b/>
                <w:bCs/>
                <w:color w:val="000000"/>
                <w:kern w:val="0"/>
                <w:sz w:val="22"/>
                <w:lang w:bidi="ar"/>
              </w:rPr>
              <w:br w:type="textWrapping"/>
            </w:r>
            <w:r>
              <w:rPr>
                <w:rFonts w:hint="eastAsia" w:cs="宋体"/>
                <w:b/>
                <w:bCs/>
                <w:color w:val="000000"/>
                <w:kern w:val="0"/>
                <w:sz w:val="22"/>
                <w:lang w:bidi="ar"/>
              </w:rPr>
              <w:t>设备数量</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color w:val="000000"/>
                <w:sz w:val="22"/>
              </w:rPr>
            </w:pPr>
            <w:r>
              <w:rPr>
                <w:rFonts w:hint="eastAsia" w:cs="宋体"/>
                <w:b/>
                <w:bCs/>
                <w:color w:val="000000"/>
                <w:kern w:val="0"/>
                <w:sz w:val="22"/>
                <w:lang w:bidi="ar"/>
              </w:rPr>
              <w:t>单位</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color w:val="000000"/>
                <w:sz w:val="22"/>
              </w:rPr>
            </w:pPr>
            <w:r>
              <w:rPr>
                <w:rFonts w:hint="eastAsia" w:cs="宋体"/>
                <w:b/>
                <w:bCs/>
                <w:color w:val="000000"/>
                <w:kern w:val="0"/>
                <w:sz w:val="22"/>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color w:val="000000"/>
                <w:sz w:val="22"/>
              </w:rPr>
            </w:pPr>
            <w:r>
              <w:rPr>
                <w:rFonts w:hint="eastAsia" w:cs="宋体"/>
                <w:b/>
                <w:bCs/>
                <w:color w:val="000000"/>
                <w:kern w:val="0"/>
                <w:sz w:val="22"/>
                <w:lang w:bidi="ar"/>
              </w:rPr>
              <w:t>搬迁服务费</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b/>
                <w:bCs/>
                <w:color w:val="000000"/>
                <w:sz w:val="22"/>
              </w:rPr>
            </w:pPr>
            <w:r>
              <w:rPr>
                <w:rFonts w:hint="eastAsia" w:cs="宋体"/>
                <w:b/>
                <w:bCs/>
                <w:color w:val="000000"/>
                <w:kern w:val="0"/>
                <w:sz w:val="22"/>
                <w:lang w:bidi="ar"/>
              </w:rPr>
              <w:t>搬迁服务费小计</w:t>
            </w:r>
          </w:p>
        </w:tc>
      </w:tr>
      <w:tr>
        <w:tblPrEx>
          <w:tblCellMar>
            <w:top w:w="0" w:type="dxa"/>
            <w:left w:w="108" w:type="dxa"/>
            <w:bottom w:w="0" w:type="dxa"/>
            <w:right w:w="108" w:type="dxa"/>
          </w:tblCellMar>
        </w:tblPrEx>
        <w:trPr>
          <w:trHeight w:val="315" w:hRule="atLeast"/>
        </w:trPr>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宽带出口系统</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S12508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M9000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S6805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HUAWEI-CE6851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NE40E-X16</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NE40E-X8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S12518</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灵州负载P2P</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S7510E</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网优先锋</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S5120V2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Catalyst 3560G</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NSFOCUS ADS NX3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S5820X</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北京卓讯科信JSH6224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SANGFOR AC-1000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soooner交换机</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NSFOCUS OSMS NX3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NSFOCUS RSAS NX3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88"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CE3000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SANGFOR AC-1000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S5800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S6720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S5500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SP370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H3C S2000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光路保护器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NSFOCUS ADS NX5</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40"/>
              <w:jc w:val="center"/>
              <w:textAlignment w:val="center"/>
              <w:rPr>
                <w:rFonts w:cs="等线"/>
                <w:color w:val="000000"/>
                <w:sz w:val="22"/>
              </w:rPr>
            </w:pPr>
            <w:r>
              <w:rPr>
                <w:rFonts w:hint="eastAsia" w:cs="等线"/>
                <w:color w:val="000000"/>
                <w:kern w:val="0"/>
                <w:sz w:val="22"/>
                <w:lang w:bidi="ar"/>
              </w:rPr>
              <w:t>Catalyst 3750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NE5000E</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DNS系统</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H3C R4900服务器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R710服务器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 xml:space="preserve"> HP DL180服务器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缓存系统</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华为 S6720-30c</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华为S6730-H48x6c</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东信缓存服务器aisino26081r</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6</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东信缓存服务器（宝德pr2710r）</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宝仪诚缓存服务器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宝仪诚缓存服务器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网管系统</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H3C R4900G2服务器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Sugon 1620-G20服务器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IBM x3650 m3服务器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ProLiant DL380G6服务器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大电视系统</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R710服务器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PowerVault MD服务器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R520服务器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Soooner SCS-2000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ProLiant DL180G6服务器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ProLiant DL380G6服务器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IBM x3650 M3服务器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Soooner SBS-300-AC</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BIGTV SMS-12H</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Soooner DBC</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SE316M1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R510服务器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R410服务器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9</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R610服务器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MD1200服务器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MD3200i服务器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NETAPP 存储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powersmart 鼎点灵视编码器系统</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H3C secpath F1000E</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poweredge R310服务器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传输系统</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cs="等线"/>
                <w:color w:val="000000"/>
                <w:sz w:val="18"/>
                <w:szCs w:val="18"/>
              </w:rPr>
            </w:pPr>
            <w:r>
              <w:rPr>
                <w:rFonts w:hint="eastAsia" w:cs="等线"/>
                <w:color w:val="000000"/>
                <w:kern w:val="0"/>
                <w:sz w:val="18"/>
                <w:szCs w:val="18"/>
                <w:lang w:bidi="ar"/>
              </w:rPr>
              <w:t>交换机</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cs="等线"/>
                <w:color w:val="000000"/>
                <w:sz w:val="18"/>
                <w:szCs w:val="18"/>
              </w:rPr>
            </w:pPr>
            <w:r>
              <w:rPr>
                <w:rFonts w:hint="eastAsia" w:cs="等线"/>
                <w:color w:val="000000"/>
                <w:kern w:val="0"/>
                <w:sz w:val="18"/>
                <w:szCs w:val="18"/>
                <w:lang w:bidi="ar"/>
              </w:rPr>
              <w:t>视讯适配器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cs="等线"/>
                <w:color w:val="000000"/>
                <w:sz w:val="18"/>
                <w:szCs w:val="18"/>
              </w:rPr>
            </w:pPr>
            <w:r>
              <w:rPr>
                <w:rFonts w:hint="eastAsia" w:cs="等线"/>
                <w:color w:val="000000"/>
                <w:kern w:val="0"/>
                <w:sz w:val="18"/>
                <w:szCs w:val="18"/>
                <w:lang w:bidi="ar"/>
              </w:rPr>
              <w:t>TANDBERG</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cs="等线"/>
                <w:color w:val="000000"/>
                <w:sz w:val="18"/>
                <w:szCs w:val="18"/>
              </w:rPr>
            </w:pPr>
            <w:r>
              <w:rPr>
                <w:rFonts w:hint="eastAsia" w:cs="等线"/>
                <w:color w:val="000000"/>
                <w:kern w:val="0"/>
                <w:sz w:val="18"/>
                <w:szCs w:val="18"/>
                <w:lang w:bidi="ar"/>
              </w:rPr>
              <w:t>NETWORK光机</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cs="等线"/>
                <w:color w:val="000000"/>
                <w:sz w:val="18"/>
                <w:szCs w:val="18"/>
              </w:rPr>
            </w:pPr>
            <w:r>
              <w:rPr>
                <w:rFonts w:hint="eastAsia" w:cs="等线"/>
                <w:color w:val="000000"/>
                <w:kern w:val="0"/>
                <w:sz w:val="18"/>
                <w:szCs w:val="18"/>
                <w:lang w:bidi="ar"/>
              </w:rPr>
              <w:t>交换机</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cs="等线"/>
                <w:color w:val="000000"/>
                <w:sz w:val="18"/>
                <w:szCs w:val="18"/>
              </w:rPr>
            </w:pPr>
            <w:r>
              <w:rPr>
                <w:rFonts w:hint="eastAsia" w:cs="等线"/>
                <w:color w:val="000000"/>
                <w:kern w:val="0"/>
                <w:sz w:val="18"/>
                <w:szCs w:val="18"/>
                <w:lang w:bidi="ar"/>
              </w:rPr>
              <w:t>交换机</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15"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360"/>
              <w:jc w:val="center"/>
              <w:textAlignment w:val="center"/>
              <w:rPr>
                <w:rFonts w:cs="等线"/>
                <w:color w:val="000000"/>
                <w:sz w:val="18"/>
                <w:szCs w:val="18"/>
              </w:rPr>
            </w:pPr>
            <w:r>
              <w:rPr>
                <w:rFonts w:hint="eastAsia" w:cs="等线"/>
                <w:color w:val="000000"/>
                <w:kern w:val="0"/>
                <w:sz w:val="18"/>
                <w:szCs w:val="18"/>
                <w:lang w:bidi="ar"/>
              </w:rPr>
              <w:t>KVM八选一</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260" w:hRule="atLeast"/>
        </w:trPr>
        <w:tc>
          <w:tcPr>
            <w:tcW w:w="89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其他系统</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H3C R4900 G2服务器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5</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华为R4850G服务器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ProLiant DL380G6服务器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NETAPP DS4243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Sugon 1620-G20服务器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To s12518服务器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R710服务器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Soooner SAS-500-12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Fantray</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IBM x3650 M3服务器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7</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万金R520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SE316M1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Sugon 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R720服务器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HIK-DS-9104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Sugon 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R610服务器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DL380G6服务器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H3C P8200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DELL R510服务器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HP ProLiant DL380G6服务器</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H3C S5800交换机</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400"/>
              <w:jc w:val="center"/>
              <w:rPr>
                <w:rFonts w:cs="宋体"/>
                <w:color w:val="000000"/>
                <w:sz w:val="20"/>
                <w:szCs w:val="20"/>
              </w:rPr>
            </w:pP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sz w:val="20"/>
                <w:szCs w:val="20"/>
              </w:rPr>
            </w:pPr>
            <w:r>
              <w:rPr>
                <w:rFonts w:hint="eastAsia" w:cs="等线"/>
                <w:color w:val="000000"/>
                <w:kern w:val="0"/>
                <w:sz w:val="20"/>
                <w:szCs w:val="20"/>
                <w:lang w:bidi="ar"/>
              </w:rPr>
              <w:t>ARRAY APV 9600</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sz w:val="20"/>
                <w:szCs w:val="20"/>
              </w:rPr>
            </w:pPr>
            <w:r>
              <w:rPr>
                <w:rFonts w:hint="eastAsia" w:cs="宋体"/>
                <w:color w:val="000000"/>
                <w:kern w:val="0"/>
                <w:sz w:val="20"/>
                <w:szCs w:val="20"/>
                <w:lang w:bidi="ar"/>
              </w:rPr>
              <w:t>1</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right"/>
              <w:textAlignment w:val="center"/>
              <w:rPr>
                <w:rFonts w:cs="宋体"/>
                <w:color w:val="000000"/>
                <w:sz w:val="20"/>
                <w:szCs w:val="20"/>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260"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cs="宋体"/>
                <w:color w:val="000000"/>
                <w:sz w:val="20"/>
                <w:szCs w:val="20"/>
              </w:rPr>
            </w:pPr>
            <w:r>
              <w:rPr>
                <w:rFonts w:hint="eastAsia" w:cs="宋体"/>
                <w:color w:val="000000"/>
                <w:kern w:val="0"/>
                <w:sz w:val="20"/>
                <w:szCs w:val="20"/>
                <w:lang w:bidi="ar"/>
              </w:rPr>
              <w:t>显示屏</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等线"/>
                <w:color w:val="000000"/>
                <w:kern w:val="0"/>
                <w:sz w:val="20"/>
                <w:szCs w:val="20"/>
                <w:lang w:bidi="ar"/>
              </w:rPr>
            </w:pPr>
            <w:r>
              <w:rPr>
                <w:rFonts w:hint="eastAsia" w:cs="宋体"/>
                <w:color w:val="000000"/>
                <w:kern w:val="0"/>
                <w:sz w:val="20"/>
                <w:szCs w:val="20"/>
                <w:lang w:bidi="ar"/>
              </w:rPr>
              <w:t>显示屏</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kern w:val="0"/>
                <w:sz w:val="20"/>
                <w:szCs w:val="20"/>
                <w:lang w:bidi="ar"/>
              </w:rPr>
            </w:pPr>
            <w:r>
              <w:rPr>
                <w:rFonts w:hint="eastAsia" w:cs="宋体"/>
                <w:color w:val="000000"/>
                <w:kern w:val="0"/>
                <w:sz w:val="20"/>
                <w:szCs w:val="20"/>
                <w:lang w:bidi="ar"/>
              </w:rPr>
              <w:t>12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kern w:val="0"/>
                <w:sz w:val="20"/>
                <w:szCs w:val="20"/>
                <w:lang w:bidi="ar"/>
              </w:rPr>
            </w:pPr>
            <w:r>
              <w:rPr>
                <w:rFonts w:hint="eastAsia" w:cs="宋体"/>
                <w:color w:val="000000"/>
                <w:kern w:val="0"/>
                <w:sz w:val="20"/>
                <w:szCs w:val="20"/>
                <w:lang w:bidi="ar"/>
              </w:rPr>
              <w:t>块</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r>
        <w:tblPrEx>
          <w:tblCellMar>
            <w:top w:w="0" w:type="dxa"/>
            <w:left w:w="108" w:type="dxa"/>
            <w:bottom w:w="0" w:type="dxa"/>
            <w:right w:w="108" w:type="dxa"/>
          </w:tblCellMar>
        </w:tblPrEx>
        <w:trPr>
          <w:trHeight w:val="349" w:hRule="atLeast"/>
        </w:trPr>
        <w:tc>
          <w:tcPr>
            <w:tcW w:w="8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宋体"/>
                <w:color w:val="000000"/>
                <w:kern w:val="0"/>
                <w:sz w:val="20"/>
                <w:szCs w:val="20"/>
                <w:lang w:bidi="ar"/>
              </w:rPr>
            </w:pPr>
            <w:r>
              <w:rPr>
                <w:rFonts w:hint="eastAsia" w:cs="宋体"/>
                <w:b/>
                <w:bCs/>
                <w:color w:val="000000"/>
                <w:kern w:val="0"/>
                <w:sz w:val="20"/>
                <w:szCs w:val="20"/>
                <w:lang w:bidi="ar"/>
              </w:rPr>
              <w:t>共计</w:t>
            </w:r>
          </w:p>
        </w:tc>
        <w:tc>
          <w:tcPr>
            <w:tcW w:w="2693"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kern w:val="0"/>
                <w:sz w:val="20"/>
                <w:szCs w:val="20"/>
                <w:lang w:bidi="ar"/>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kern w:val="0"/>
                <w:sz w:val="20"/>
                <w:szCs w:val="20"/>
                <w:lang w:bidi="ar"/>
              </w:rPr>
            </w:pPr>
            <w:r>
              <w:rPr>
                <w:rFonts w:hint="eastAsia" w:cs="宋体"/>
                <w:color w:val="000000"/>
                <w:kern w:val="0"/>
                <w:sz w:val="20"/>
                <w:szCs w:val="20"/>
                <w:lang w:bidi="ar"/>
              </w:rPr>
              <w:t>234</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ind w:firstLine="400"/>
              <w:jc w:val="center"/>
              <w:textAlignment w:val="center"/>
              <w:rPr>
                <w:rFonts w:cs="宋体"/>
                <w:color w:val="000000"/>
                <w:kern w:val="0"/>
                <w:sz w:val="20"/>
                <w:szCs w:val="20"/>
                <w:lang w:bidi="ar"/>
              </w:rPr>
            </w:pPr>
            <w:r>
              <w:rPr>
                <w:rFonts w:hint="eastAsia" w:cs="宋体"/>
                <w:color w:val="000000"/>
                <w:kern w:val="0"/>
                <w:sz w:val="20"/>
                <w:szCs w:val="20"/>
                <w:lang w:bidi="ar"/>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ind w:firstLine="400"/>
              <w:rPr>
                <w:rFonts w:cs="宋体"/>
                <w:color w:val="000000"/>
                <w:sz w:val="20"/>
                <w:szCs w:val="20"/>
              </w:rPr>
            </w:pPr>
          </w:p>
        </w:tc>
      </w:tr>
    </w:tbl>
    <w:p>
      <w:pPr>
        <w:snapToGrid w:val="0"/>
        <w:spacing w:line="360" w:lineRule="auto"/>
        <w:ind w:firstLine="420" w:firstLineChars="200"/>
      </w:pPr>
    </w:p>
    <w:p>
      <w:pPr>
        <w:spacing w:line="360" w:lineRule="auto"/>
        <w:outlineLvl w:val="1"/>
        <w:rPr>
          <w:b/>
          <w:sz w:val="28"/>
          <w:szCs w:val="28"/>
        </w:rPr>
      </w:pPr>
    </w:p>
    <w:p/>
    <w:p>
      <w:pPr>
        <w:jc w:val="center"/>
        <w:rPr>
          <w:b/>
          <w:sz w:val="32"/>
        </w:rPr>
      </w:pPr>
      <w:r>
        <w:rPr>
          <w:b/>
          <w:sz w:val="32"/>
        </w:rPr>
        <w:br w:type="page"/>
      </w:r>
    </w:p>
    <w:p>
      <w:pPr>
        <w:pStyle w:val="66"/>
        <w:jc w:val="center"/>
      </w:pPr>
      <w:bookmarkStart w:id="16" w:name="_Toc166247623"/>
      <w:r>
        <w:rPr>
          <w:rFonts w:hint="eastAsia"/>
        </w:rPr>
        <w:t>第五章 技术需求书</w:t>
      </w:r>
      <w:bookmarkEnd w:id="16"/>
    </w:p>
    <w:p>
      <w:pPr>
        <w:autoSpaceDE w:val="0"/>
        <w:autoSpaceDN w:val="0"/>
        <w:adjustRightInd w:val="0"/>
        <w:snapToGrid w:val="0"/>
        <w:ind w:right="893"/>
        <w:textAlignment w:val="bottom"/>
        <w:rPr>
          <w:sz w:val="16"/>
        </w:rPr>
      </w:pPr>
    </w:p>
    <w:p>
      <w:pPr>
        <w:pStyle w:val="67"/>
        <w:ind w:firstLine="440"/>
      </w:pPr>
      <w:r>
        <w:rPr>
          <w:rFonts w:hint="eastAsia"/>
        </w:rPr>
        <w:t>一、</w:t>
      </w:r>
      <w:r>
        <w:t>概述</w:t>
      </w:r>
    </w:p>
    <w:p>
      <w:pPr>
        <w:numPr>
          <w:ilvl w:val="2"/>
          <w:numId w:val="6"/>
        </w:numPr>
        <w:spacing w:line="360" w:lineRule="auto"/>
        <w:ind w:left="426" w:firstLine="0"/>
        <w:rPr>
          <w:rFonts w:cs="Arial"/>
          <w:b/>
          <w:sz w:val="28"/>
          <w:szCs w:val="28"/>
        </w:rPr>
      </w:pPr>
      <w:r>
        <w:rPr>
          <w:rFonts w:cs="Arial"/>
          <w:b/>
          <w:sz w:val="28"/>
          <w:szCs w:val="28"/>
        </w:rPr>
        <w:t>说明</w:t>
      </w:r>
    </w:p>
    <w:p>
      <w:pPr>
        <w:spacing w:before="100" w:after="100" w:line="360" w:lineRule="auto"/>
        <w:ind w:firstLine="360" w:firstLineChars="150"/>
        <w:jc w:val="left"/>
        <w:rPr>
          <w:rFonts w:cs="宋体"/>
          <w:b/>
          <w:sz w:val="24"/>
        </w:rPr>
      </w:pPr>
      <w:r>
        <w:rPr>
          <w:rFonts w:hint="eastAsia" w:cs="宋体"/>
          <w:sz w:val="24"/>
        </w:rPr>
        <w:t>1．本技术</w:t>
      </w:r>
      <w:bookmarkStart w:id="17" w:name="_Toc217209708"/>
      <w:bookmarkStart w:id="18" w:name="_Toc223664628"/>
      <w:r>
        <w:rPr>
          <w:rFonts w:hint="eastAsia" w:cs="宋体"/>
          <w:sz w:val="24"/>
        </w:rPr>
        <w:t>及服务</w:t>
      </w:r>
      <w:bookmarkEnd w:id="17"/>
      <w:bookmarkEnd w:id="18"/>
      <w:r>
        <w:rPr>
          <w:rFonts w:hint="eastAsia" w:cs="宋体"/>
          <w:sz w:val="24"/>
        </w:rPr>
        <w:t>书为</w:t>
      </w:r>
      <w:r>
        <w:rPr>
          <w:rFonts w:hint="eastAsia"/>
          <w:sz w:val="24"/>
          <w:u w:val="single"/>
        </w:rPr>
        <w:t>“大塔机房设备和配套设备搬迁”</w:t>
      </w:r>
      <w:r>
        <w:rPr>
          <w:rFonts w:hint="eastAsia" w:cs="宋体"/>
          <w:sz w:val="24"/>
        </w:rPr>
        <w:t>项目的主要技术要求和供货要求，应答文件的技术部分内容格式应符合本技术需求书的要求，供应商提供的系统功能和性能应完全符合本技术及服务书中指明的标准，并满足或高于技术及服务书中提出的技术指标要求。</w:t>
      </w:r>
    </w:p>
    <w:p>
      <w:pPr>
        <w:widowControl/>
        <w:spacing w:line="360" w:lineRule="auto"/>
        <w:ind w:firstLine="480" w:firstLineChars="200"/>
        <w:jc w:val="left"/>
        <w:rPr>
          <w:rFonts w:cs="宋体"/>
          <w:sz w:val="24"/>
        </w:rPr>
      </w:pPr>
      <w:r>
        <w:rPr>
          <w:rFonts w:hint="eastAsia" w:cs="宋体"/>
          <w:sz w:val="24"/>
        </w:rPr>
        <w:t>2．本技术及服务书中选“★”内容为必须满足项，供应商所提供的产品必须满足此项的要求，不满足将作为不能实质性响应文件。</w:t>
      </w:r>
    </w:p>
    <w:p>
      <w:pPr>
        <w:spacing w:line="360" w:lineRule="auto"/>
        <w:ind w:firstLine="480" w:firstLineChars="200"/>
        <w:rPr>
          <w:rFonts w:cs="宋体"/>
          <w:sz w:val="24"/>
        </w:rPr>
      </w:pPr>
      <w:r>
        <w:rPr>
          <w:rFonts w:hint="eastAsia" w:cs="宋体"/>
          <w:sz w:val="24"/>
        </w:rPr>
        <w:t>3．供应商应根据本技术及服务书的要求，基于自己的产品和技术提供具体、完整的配置方案。供应商在应答文件中给出的软件配置，必须保证应答文件中各项性能和功能承诺指标的实现。供应商应对硬件产品提出建议，软、硬件产品在各种承诺业务功能同时启用时，不应影响系统性能和稳定性。</w:t>
      </w:r>
    </w:p>
    <w:p>
      <w:pPr>
        <w:spacing w:line="360" w:lineRule="auto"/>
        <w:ind w:firstLine="480" w:firstLineChars="200"/>
        <w:rPr>
          <w:rFonts w:cs="宋体"/>
          <w:sz w:val="24"/>
        </w:rPr>
      </w:pPr>
      <w:r>
        <w:rPr>
          <w:rFonts w:hint="eastAsia" w:cs="宋体"/>
          <w:sz w:val="24"/>
        </w:rPr>
        <w:t>4．“★”供应商必须</w:t>
      </w:r>
      <w:r>
        <w:rPr>
          <w:rFonts w:hint="eastAsia" w:cs="宋体"/>
          <w:bCs/>
          <w:sz w:val="24"/>
        </w:rPr>
        <w:t>承诺提供的所有产品不会侵犯第三方的知识产权</w:t>
      </w:r>
      <w:r>
        <w:rPr>
          <w:rFonts w:hint="eastAsia" w:cs="宋体"/>
          <w:sz w:val="24"/>
        </w:rPr>
        <w:t>。</w:t>
      </w:r>
    </w:p>
    <w:p>
      <w:pPr>
        <w:spacing w:line="360" w:lineRule="auto"/>
        <w:ind w:firstLine="480" w:firstLineChars="200"/>
        <w:rPr>
          <w:rFonts w:cs="宋体"/>
          <w:sz w:val="24"/>
        </w:rPr>
      </w:pPr>
      <w:r>
        <w:rPr>
          <w:rFonts w:hint="eastAsia" w:cs="宋体"/>
          <w:sz w:val="24"/>
        </w:rPr>
        <w:t>5．采购人在</w:t>
      </w:r>
      <w:bookmarkStart w:id="19" w:name="_Toc198014298"/>
      <w:bookmarkStart w:id="20" w:name="_Toc223664629"/>
      <w:r>
        <w:rPr>
          <w:rFonts w:hint="eastAsia" w:cs="宋体"/>
          <w:sz w:val="24"/>
        </w:rPr>
        <w:t>任何时候保留和拥有对本技术及服务书的解释权和修改权。</w:t>
      </w:r>
    </w:p>
    <w:p>
      <w:pPr>
        <w:spacing w:line="360" w:lineRule="auto"/>
        <w:ind w:firstLine="480" w:firstLineChars="200"/>
        <w:rPr>
          <w:rFonts w:cs="宋体"/>
          <w:sz w:val="24"/>
        </w:rPr>
      </w:pPr>
      <w:r>
        <w:rPr>
          <w:rFonts w:hint="eastAsia" w:cs="宋体"/>
          <w:sz w:val="24"/>
        </w:rPr>
        <w:t>6．本技术及服务书只是针对采购人</w:t>
      </w:r>
      <w:r>
        <w:rPr>
          <w:rFonts w:hint="eastAsia"/>
          <w:sz w:val="24"/>
          <w:u w:val="single"/>
        </w:rPr>
        <w:t>“大塔机房设备和配套设备搬迁”</w:t>
      </w:r>
      <w:r>
        <w:rPr>
          <w:rFonts w:hint="eastAsia" w:cs="宋体"/>
          <w:sz w:val="24"/>
        </w:rPr>
        <w:t>项目的要求，采购人有权在签定合同前，根据需要修改和补充本技术及服务书，修改补充后的最终技术及服务书将作为合同的附件。未经采购人书面许可，供应商不得以任何形式向第三方透露本技术及服务书内容。</w:t>
      </w:r>
    </w:p>
    <w:p>
      <w:pPr>
        <w:spacing w:line="360" w:lineRule="auto"/>
        <w:ind w:firstLine="480" w:firstLineChars="200"/>
        <w:rPr>
          <w:rFonts w:cs="宋体"/>
          <w:sz w:val="24"/>
        </w:rPr>
      </w:pPr>
      <w:r>
        <w:rPr>
          <w:rFonts w:hint="eastAsia" w:cs="宋体"/>
          <w:sz w:val="24"/>
        </w:rPr>
        <w:t>7．在本技术及服务书中，对各条目的要求有下列表达方式：“必须”、“应” ：表示现阶段项目建设的基本需要，该条目必须实现；“建议”：表示将来项目、软件和技术发展的目标，一般情况下希望该条目实现，但在某些特定情况下可以忽略该条目；“可选” ：表示该条目属于可选。</w:t>
      </w:r>
    </w:p>
    <w:p>
      <w:pPr>
        <w:spacing w:line="360" w:lineRule="auto"/>
        <w:ind w:firstLine="420" w:firstLineChars="175"/>
        <w:rPr>
          <w:rFonts w:cs="宋体"/>
          <w:sz w:val="24"/>
        </w:rPr>
      </w:pPr>
      <w:r>
        <w:rPr>
          <w:rFonts w:hint="eastAsia" w:cs="宋体"/>
          <w:sz w:val="24"/>
        </w:rPr>
        <w:t>应答规范：</w:t>
      </w:r>
    </w:p>
    <w:p>
      <w:pPr>
        <w:numPr>
          <w:ilvl w:val="0"/>
          <w:numId w:val="7"/>
        </w:numPr>
        <w:spacing w:line="360" w:lineRule="auto"/>
        <w:ind w:left="0" w:firstLine="420" w:firstLineChars="175"/>
        <w:rPr>
          <w:rFonts w:cs="宋体"/>
          <w:sz w:val="24"/>
        </w:rPr>
      </w:pPr>
      <w:r>
        <w:rPr>
          <w:rFonts w:hint="eastAsia" w:cs="宋体"/>
          <w:sz w:val="24"/>
        </w:rPr>
        <w:t>供应商应针对技术及服务书作出点对点应答，点对点应答必须带原文。</w:t>
      </w:r>
    </w:p>
    <w:p>
      <w:pPr>
        <w:numPr>
          <w:ilvl w:val="0"/>
          <w:numId w:val="7"/>
        </w:numPr>
        <w:spacing w:line="360" w:lineRule="auto"/>
        <w:ind w:left="0" w:firstLine="420" w:firstLineChars="175"/>
        <w:rPr>
          <w:rFonts w:cs="宋体"/>
          <w:sz w:val="24"/>
        </w:rPr>
      </w:pPr>
      <w:r>
        <w:rPr>
          <w:rFonts w:hint="eastAsia" w:cs="宋体"/>
          <w:sz w:val="24"/>
        </w:rPr>
        <w:t>在答复中只能出现 “满足”、 “不满足”此类词语。</w:t>
      </w:r>
    </w:p>
    <w:p>
      <w:pPr>
        <w:numPr>
          <w:ilvl w:val="0"/>
          <w:numId w:val="7"/>
        </w:numPr>
        <w:spacing w:line="360" w:lineRule="auto"/>
        <w:ind w:left="0" w:firstLine="420" w:firstLineChars="175"/>
        <w:rPr>
          <w:rFonts w:cs="Arial"/>
        </w:rPr>
      </w:pPr>
      <w:r>
        <w:rPr>
          <w:rFonts w:hint="eastAsia" w:cs="宋体"/>
          <w:sz w:val="24"/>
        </w:rPr>
        <w:t>对于“部分同意”、“部分接受”、“部分满足”、“明白”、“理解”、“注意到”等词语均视为“不同意”或“不接受”。对不满足的条款供应商可作具体的说明，以便使采购人明白供应商不能满足的情况和原因。</w:t>
      </w:r>
    </w:p>
    <w:p>
      <w:pPr>
        <w:numPr>
          <w:ilvl w:val="0"/>
          <w:numId w:val="7"/>
        </w:numPr>
        <w:spacing w:line="360" w:lineRule="auto"/>
        <w:ind w:left="0" w:firstLine="420" w:firstLineChars="175"/>
        <w:rPr>
          <w:rFonts w:cs="宋体"/>
          <w:sz w:val="24"/>
        </w:rPr>
      </w:pPr>
      <w:r>
        <w:rPr>
          <w:rFonts w:hint="eastAsia" w:cs="宋体"/>
          <w:sz w:val="24"/>
        </w:rPr>
        <w:t>若供应商应答中使用“满足”、但提出了新的建议，这种情况，采购人按“满足”处理，可以不与供应商就其建议进行讨论，可以不采纳其建议。</w:t>
      </w:r>
    </w:p>
    <w:p>
      <w:pPr>
        <w:numPr>
          <w:ilvl w:val="0"/>
          <w:numId w:val="7"/>
        </w:numPr>
        <w:spacing w:line="360" w:lineRule="auto"/>
        <w:ind w:left="0" w:firstLine="420" w:firstLineChars="175"/>
        <w:rPr>
          <w:rFonts w:cs="宋体"/>
          <w:sz w:val="24"/>
        </w:rPr>
      </w:pPr>
      <w:r>
        <w:rPr>
          <w:rFonts w:hint="eastAsia" w:cs="宋体"/>
          <w:sz w:val="24"/>
        </w:rPr>
        <w:t>如果供应商应答中使用 “满足”，但在其后的解释描述中的内容与询价文件内容不一致，则供应商的解释描述内容无效。</w:t>
      </w:r>
    </w:p>
    <w:p>
      <w:pPr>
        <w:spacing w:line="360" w:lineRule="auto"/>
        <w:ind w:firstLine="480" w:firstLineChars="200"/>
        <w:rPr>
          <w:rFonts w:cs="宋体"/>
          <w:sz w:val="24"/>
        </w:rPr>
      </w:pPr>
      <w:r>
        <w:rPr>
          <w:rFonts w:hint="eastAsia" w:cs="宋体"/>
          <w:sz w:val="24"/>
        </w:rPr>
        <w:t>供应商应对以下提出的每一项功能、性能要求，如实地说明其产品的支持程度。如无特别说明，供应商声明支持的功能应为软件已实现的功能。采购人将适时进行验证测试，如发现供应商声明支持的功能和性能要求与测试结果不符，采购人将保留采取进一步措施的权利。</w:t>
      </w:r>
    </w:p>
    <w:p>
      <w:pPr>
        <w:numPr>
          <w:ilvl w:val="2"/>
          <w:numId w:val="6"/>
        </w:numPr>
        <w:spacing w:line="360" w:lineRule="auto"/>
        <w:ind w:left="426" w:firstLine="0"/>
        <w:rPr>
          <w:rFonts w:cs="Arial"/>
          <w:b/>
          <w:sz w:val="28"/>
          <w:szCs w:val="28"/>
        </w:rPr>
      </w:pPr>
      <w:r>
        <w:rPr>
          <w:rFonts w:cs="Arial"/>
          <w:b/>
          <w:sz w:val="28"/>
          <w:szCs w:val="28"/>
        </w:rPr>
        <w:t>技术应答要求</w:t>
      </w:r>
    </w:p>
    <w:bookmarkEnd w:id="19"/>
    <w:bookmarkEnd w:id="20"/>
    <w:p>
      <w:pPr>
        <w:adjustRightInd w:val="0"/>
        <w:snapToGrid w:val="0"/>
        <w:spacing w:line="360" w:lineRule="auto"/>
        <w:ind w:firstLine="240" w:firstLineChars="100"/>
        <w:rPr>
          <w:rFonts w:cs="宋体"/>
          <w:sz w:val="24"/>
        </w:rPr>
      </w:pPr>
      <w:r>
        <w:rPr>
          <w:rFonts w:hint="eastAsia" w:cs="宋体"/>
          <w:sz w:val="24"/>
        </w:rPr>
        <w:t>★工程施工应的技术要求参照以下相关的国际国内标准及规范：</w:t>
      </w:r>
    </w:p>
    <w:p>
      <w:pPr>
        <w:adjustRightInd w:val="0"/>
        <w:snapToGrid w:val="0"/>
        <w:spacing w:line="360" w:lineRule="auto"/>
        <w:ind w:firstLine="240" w:firstLineChars="100"/>
        <w:rPr>
          <w:rFonts w:cs="宋体"/>
          <w:sz w:val="24"/>
        </w:rPr>
      </w:pPr>
      <w:r>
        <w:rPr>
          <w:rFonts w:hint="eastAsia" w:cs="宋体"/>
          <w:sz w:val="24"/>
        </w:rPr>
        <w:t>《电子信息系统机房设计规范》（GB50174-2008）</w:t>
      </w:r>
    </w:p>
    <w:p>
      <w:pPr>
        <w:adjustRightInd w:val="0"/>
        <w:snapToGrid w:val="0"/>
        <w:spacing w:line="360" w:lineRule="auto"/>
        <w:ind w:firstLine="240" w:firstLineChars="100"/>
        <w:rPr>
          <w:rFonts w:cs="宋体"/>
          <w:sz w:val="24"/>
        </w:rPr>
      </w:pPr>
      <w:r>
        <w:rPr>
          <w:rFonts w:hint="eastAsia" w:cs="宋体"/>
          <w:sz w:val="24"/>
        </w:rPr>
        <w:t>《电子信息系统机房施工及验收规范》（GB50462-2008）</w:t>
      </w:r>
    </w:p>
    <w:p>
      <w:pPr>
        <w:adjustRightInd w:val="0"/>
        <w:snapToGrid w:val="0"/>
        <w:spacing w:line="360" w:lineRule="auto"/>
        <w:ind w:firstLine="240" w:firstLineChars="100"/>
        <w:rPr>
          <w:rFonts w:cs="宋体"/>
          <w:sz w:val="24"/>
        </w:rPr>
      </w:pPr>
      <w:r>
        <w:rPr>
          <w:rFonts w:hint="eastAsia" w:cs="宋体"/>
          <w:sz w:val="24"/>
        </w:rPr>
        <w:t>《建筑设计防火设计规范》（GB 50016-2006）</w:t>
      </w:r>
    </w:p>
    <w:p>
      <w:pPr>
        <w:adjustRightInd w:val="0"/>
        <w:snapToGrid w:val="0"/>
        <w:spacing w:line="360" w:lineRule="auto"/>
        <w:ind w:firstLine="240" w:firstLineChars="100"/>
        <w:rPr>
          <w:rFonts w:cs="宋体"/>
          <w:sz w:val="24"/>
        </w:rPr>
      </w:pPr>
      <w:r>
        <w:rPr>
          <w:rFonts w:hint="eastAsia" w:cs="宋体"/>
          <w:sz w:val="24"/>
        </w:rPr>
        <w:t>《防静电活动地板通用规范》（SJ/T10796-2001）</w:t>
      </w:r>
    </w:p>
    <w:p>
      <w:pPr>
        <w:adjustRightInd w:val="0"/>
        <w:snapToGrid w:val="0"/>
        <w:spacing w:line="360" w:lineRule="auto"/>
        <w:ind w:firstLine="240" w:firstLineChars="100"/>
        <w:rPr>
          <w:rFonts w:cs="宋体"/>
          <w:sz w:val="24"/>
        </w:rPr>
      </w:pPr>
      <w:r>
        <w:rPr>
          <w:rFonts w:hint="eastAsia" w:cs="宋体"/>
          <w:sz w:val="24"/>
        </w:rPr>
        <w:t>《通风与空调工程施工及验收规范》（GB50243-2002）</w:t>
      </w:r>
    </w:p>
    <w:p>
      <w:pPr>
        <w:adjustRightInd w:val="0"/>
        <w:snapToGrid w:val="0"/>
        <w:spacing w:line="360" w:lineRule="auto"/>
        <w:ind w:firstLine="240" w:firstLineChars="100"/>
        <w:rPr>
          <w:rFonts w:cs="宋体"/>
          <w:sz w:val="24"/>
        </w:rPr>
      </w:pPr>
      <w:r>
        <w:rPr>
          <w:rFonts w:hint="eastAsia" w:cs="宋体"/>
          <w:sz w:val="24"/>
        </w:rPr>
        <w:t>《低压配电设计规范》（GB50054-2011）</w:t>
      </w:r>
    </w:p>
    <w:p>
      <w:pPr>
        <w:adjustRightInd w:val="0"/>
        <w:snapToGrid w:val="0"/>
        <w:spacing w:line="360" w:lineRule="auto"/>
        <w:ind w:firstLine="240" w:firstLineChars="100"/>
        <w:rPr>
          <w:rFonts w:cs="宋体"/>
          <w:sz w:val="24"/>
        </w:rPr>
      </w:pPr>
      <w:r>
        <w:rPr>
          <w:rFonts w:hint="eastAsia" w:cs="宋体"/>
          <w:sz w:val="24"/>
        </w:rPr>
        <w:t>《建筑电气工程施工质量验收规范》（GB50303-2002）</w:t>
      </w:r>
    </w:p>
    <w:p>
      <w:pPr>
        <w:adjustRightInd w:val="0"/>
        <w:snapToGrid w:val="0"/>
        <w:spacing w:line="360" w:lineRule="auto"/>
        <w:ind w:firstLine="240" w:firstLineChars="100"/>
        <w:rPr>
          <w:rFonts w:cs="宋体"/>
          <w:sz w:val="24"/>
        </w:rPr>
      </w:pPr>
      <w:r>
        <w:rPr>
          <w:rFonts w:hint="eastAsia" w:cs="宋体"/>
          <w:sz w:val="24"/>
        </w:rPr>
        <w:t>《建筑物电子信息系统防雷技术规范》（GB50343-2012）</w:t>
      </w:r>
    </w:p>
    <w:p>
      <w:pPr>
        <w:adjustRightInd w:val="0"/>
        <w:snapToGrid w:val="0"/>
        <w:spacing w:line="360" w:lineRule="auto"/>
        <w:ind w:firstLine="240" w:firstLineChars="100"/>
        <w:rPr>
          <w:rFonts w:cs="宋体"/>
          <w:sz w:val="24"/>
        </w:rPr>
      </w:pPr>
      <w:r>
        <w:rPr>
          <w:rFonts w:hint="eastAsia" w:cs="宋体"/>
          <w:sz w:val="24"/>
        </w:rPr>
        <w:t>《智能建筑设计标准》（GB/T50314-2006）</w:t>
      </w:r>
    </w:p>
    <w:p>
      <w:pPr>
        <w:adjustRightInd w:val="0"/>
        <w:snapToGrid w:val="0"/>
        <w:spacing w:line="360" w:lineRule="auto"/>
        <w:ind w:firstLine="240" w:firstLineChars="100"/>
        <w:rPr>
          <w:rFonts w:cs="宋体"/>
          <w:sz w:val="24"/>
        </w:rPr>
      </w:pPr>
      <w:r>
        <w:rPr>
          <w:rFonts w:hint="eastAsia" w:cs="宋体"/>
          <w:sz w:val="24"/>
        </w:rPr>
        <w:t>《本地网通信线路工程验收规范》（YD5051-97）</w:t>
      </w:r>
    </w:p>
    <w:p>
      <w:pPr>
        <w:adjustRightInd w:val="0"/>
        <w:snapToGrid w:val="0"/>
        <w:spacing w:line="360" w:lineRule="auto"/>
        <w:ind w:firstLine="240" w:firstLineChars="100"/>
        <w:rPr>
          <w:rFonts w:cs="宋体"/>
          <w:sz w:val="24"/>
        </w:rPr>
      </w:pPr>
      <w:r>
        <w:rPr>
          <w:rFonts w:hint="eastAsia" w:cs="宋体"/>
          <w:sz w:val="24"/>
        </w:rPr>
        <w:t>《电信网光纤数字传输系统工程及验收暂行技术规定》（YDJ44-89）</w:t>
      </w:r>
    </w:p>
    <w:p>
      <w:pPr>
        <w:adjustRightInd w:val="0"/>
        <w:snapToGrid w:val="0"/>
        <w:spacing w:line="360" w:lineRule="auto"/>
        <w:ind w:firstLine="240" w:firstLineChars="100"/>
        <w:rPr>
          <w:rFonts w:cs="宋体"/>
          <w:sz w:val="24"/>
        </w:rPr>
      </w:pPr>
      <w:r>
        <w:rPr>
          <w:rFonts w:hint="eastAsia" w:cs="宋体"/>
          <w:sz w:val="24"/>
        </w:rPr>
        <w:t>《有线电视网络工程施工及验收规范（试行）》</w:t>
      </w:r>
    </w:p>
    <w:p>
      <w:pPr>
        <w:adjustRightInd w:val="0"/>
        <w:snapToGrid w:val="0"/>
        <w:spacing w:line="360" w:lineRule="auto"/>
        <w:ind w:firstLine="240" w:firstLineChars="100"/>
        <w:rPr>
          <w:rFonts w:cs="宋体"/>
          <w:sz w:val="24"/>
        </w:rPr>
      </w:pPr>
      <w:r>
        <w:rPr>
          <w:rFonts w:hint="eastAsia" w:cs="宋体"/>
          <w:sz w:val="24"/>
        </w:rPr>
        <w:t>《有线数字电视光链路技术要求和测量方法》（GY/T 300-2016）</w:t>
      </w:r>
    </w:p>
    <w:p>
      <w:pPr>
        <w:adjustRightInd w:val="0"/>
        <w:snapToGrid w:val="0"/>
        <w:spacing w:line="360" w:lineRule="auto"/>
        <w:ind w:firstLine="240" w:firstLineChars="100"/>
        <w:rPr>
          <w:rFonts w:cs="宋体"/>
          <w:sz w:val="24"/>
        </w:rPr>
      </w:pPr>
      <w:r>
        <w:rPr>
          <w:rFonts w:hint="eastAsia" w:cs="宋体"/>
          <w:sz w:val="24"/>
        </w:rPr>
        <w:t>以上所列的主要技术标准和规范，如有不足之处或未能达到国际或国内最新标准时，供应商应在施工及选用设备、材料时，依据最新的国际、国内标准，并提供所采用标准的最新版本资料。供应商采用其它标准和规范时，应注明是采用何种标准，并应保证达到或优于以上所列的相关标准。</w:t>
      </w:r>
    </w:p>
    <w:p>
      <w:pPr>
        <w:pStyle w:val="67"/>
        <w:ind w:firstLine="440"/>
      </w:pPr>
      <w:r>
        <w:rPr>
          <w:rFonts w:hint="eastAsia"/>
        </w:rPr>
        <w:t>二、技术需求</w:t>
      </w:r>
    </w:p>
    <w:p>
      <w:pPr>
        <w:pStyle w:val="67"/>
        <w:ind w:firstLine="480"/>
      </w:pPr>
      <w:r>
        <w:rPr>
          <w:rFonts w:hint="eastAsia" w:cs="宋体"/>
          <w:sz w:val="24"/>
        </w:rPr>
        <w:t>★2</w:t>
      </w:r>
      <w:r>
        <w:rPr>
          <w:rFonts w:cs="宋体"/>
          <w:sz w:val="24"/>
        </w:rPr>
        <w:t>.1</w:t>
      </w:r>
      <w:r>
        <w:rPr>
          <w:rFonts w:hint="eastAsia"/>
        </w:rPr>
        <w:t>总体要求：</w:t>
      </w:r>
    </w:p>
    <w:p>
      <w:pPr>
        <w:spacing w:line="360" w:lineRule="auto"/>
        <w:ind w:firstLine="480" w:firstLineChars="200"/>
        <w:rPr>
          <w:rFonts w:cs="宋体"/>
          <w:sz w:val="24"/>
        </w:rPr>
      </w:pPr>
      <w:r>
        <w:rPr>
          <w:rFonts w:hint="eastAsia" w:cs="宋体"/>
          <w:sz w:val="24"/>
        </w:rPr>
        <w:t>(1)</w:t>
      </w:r>
      <w:r>
        <w:rPr>
          <w:rFonts w:hint="eastAsia" w:cs="宋体"/>
          <w:sz w:val="24"/>
        </w:rPr>
        <w:tab/>
      </w:r>
      <w:r>
        <w:rPr>
          <w:rFonts w:hint="eastAsia" w:cs="宋体"/>
          <w:sz w:val="24"/>
        </w:rPr>
        <w:t>本项目为交钥匙工程，项目中所涉及全部工作由供应商完成，采购人配合协助。</w:t>
      </w:r>
    </w:p>
    <w:p>
      <w:pPr>
        <w:spacing w:line="360" w:lineRule="auto"/>
        <w:ind w:firstLine="480" w:firstLineChars="200"/>
        <w:rPr>
          <w:rFonts w:cs="宋体"/>
          <w:sz w:val="24"/>
        </w:rPr>
      </w:pPr>
      <w:r>
        <w:rPr>
          <w:rFonts w:hint="eastAsia" w:cs="宋体"/>
          <w:sz w:val="24"/>
        </w:rPr>
        <w:t>供应商所完成内容包括但不限于：</w:t>
      </w:r>
    </w:p>
    <w:p>
      <w:pPr>
        <w:spacing w:line="360" w:lineRule="auto"/>
        <w:ind w:firstLine="480" w:firstLineChars="200"/>
        <w:rPr>
          <w:rFonts w:cs="宋体"/>
          <w:sz w:val="24"/>
        </w:rPr>
      </w:pPr>
      <w:r>
        <w:rPr>
          <w:rFonts w:hint="eastAsia" w:cs="宋体"/>
          <w:sz w:val="24"/>
        </w:rPr>
        <w:t>a)</w:t>
      </w:r>
      <w:r>
        <w:rPr>
          <w:rFonts w:hint="eastAsia" w:cs="宋体"/>
          <w:sz w:val="24"/>
        </w:rPr>
        <w:tab/>
      </w:r>
      <w:r>
        <w:rPr>
          <w:rFonts w:hint="eastAsia" w:cs="宋体"/>
          <w:sz w:val="24"/>
        </w:rPr>
        <w:t>技术交流、现场勘测及工作量评估</w:t>
      </w:r>
    </w:p>
    <w:p>
      <w:pPr>
        <w:spacing w:line="360" w:lineRule="auto"/>
        <w:ind w:firstLine="480" w:firstLineChars="200"/>
        <w:rPr>
          <w:rFonts w:cs="宋体"/>
          <w:sz w:val="24"/>
        </w:rPr>
      </w:pPr>
      <w:r>
        <w:rPr>
          <w:rFonts w:hint="eastAsia" w:cs="宋体"/>
          <w:sz w:val="24"/>
        </w:rPr>
        <w:t>供应商需提前做好技术交流、现场勘察、工作界面界定及项目工作量评估等工作。如因供应商对实际工作量评估不足而导致在项目实施过程中产生的额外费用由供应商承担。</w:t>
      </w:r>
    </w:p>
    <w:p>
      <w:pPr>
        <w:spacing w:line="360" w:lineRule="auto"/>
        <w:ind w:firstLine="480" w:firstLineChars="200"/>
        <w:rPr>
          <w:rFonts w:cs="宋体"/>
          <w:sz w:val="24"/>
        </w:rPr>
      </w:pPr>
      <w:r>
        <w:rPr>
          <w:rFonts w:hint="eastAsia" w:cs="宋体"/>
          <w:sz w:val="24"/>
        </w:rPr>
        <w:t>b)</w:t>
      </w:r>
      <w:r>
        <w:rPr>
          <w:rFonts w:hint="eastAsia" w:cs="宋体"/>
          <w:sz w:val="24"/>
        </w:rPr>
        <w:tab/>
      </w:r>
      <w:r>
        <w:rPr>
          <w:rFonts w:hint="eastAsia" w:cs="宋体"/>
          <w:sz w:val="24"/>
        </w:rPr>
        <w:t>出具方案</w:t>
      </w:r>
    </w:p>
    <w:p>
      <w:pPr>
        <w:spacing w:line="360" w:lineRule="auto"/>
        <w:ind w:firstLine="480" w:firstLineChars="200"/>
        <w:rPr>
          <w:rFonts w:cs="宋体"/>
          <w:sz w:val="24"/>
        </w:rPr>
      </w:pPr>
      <w:r>
        <w:rPr>
          <w:rFonts w:hint="eastAsia" w:cs="宋体"/>
          <w:sz w:val="24"/>
        </w:rPr>
        <w:t>供应商与采购人沟通、交流，由供应商出具设计、施工等方案，方案包含但不限于《项目管理与实施方案》、图纸资料、线表等。并作为响应文件一部分提交评委审定。</w:t>
      </w:r>
    </w:p>
    <w:p>
      <w:pPr>
        <w:spacing w:line="360" w:lineRule="auto"/>
        <w:ind w:firstLine="480" w:firstLineChars="200"/>
        <w:rPr>
          <w:rFonts w:cs="宋体"/>
          <w:sz w:val="24"/>
        </w:rPr>
      </w:pPr>
      <w:r>
        <w:rPr>
          <w:rFonts w:hint="eastAsia" w:cs="宋体"/>
          <w:sz w:val="24"/>
        </w:rPr>
        <w:t>《项目管理与实施方案》：方案包括项目组织机构、人员安排、进度安排、计划控制、项目相关人员管理、质量管理及风险管理、生产安全管理等内容，方案必须符合招标方现场施工相关规定和要求。</w:t>
      </w:r>
    </w:p>
    <w:p>
      <w:pPr>
        <w:spacing w:line="360" w:lineRule="auto"/>
        <w:ind w:firstLine="480" w:firstLineChars="200"/>
        <w:rPr>
          <w:rFonts w:cs="宋体"/>
          <w:sz w:val="24"/>
        </w:rPr>
      </w:pPr>
      <w:r>
        <w:rPr>
          <w:rFonts w:hint="eastAsia" w:cs="宋体"/>
          <w:sz w:val="24"/>
        </w:rPr>
        <w:t>c)</w:t>
      </w:r>
      <w:r>
        <w:rPr>
          <w:rFonts w:hint="eastAsia" w:cs="宋体"/>
          <w:sz w:val="24"/>
        </w:rPr>
        <w:tab/>
      </w:r>
      <w:r>
        <w:rPr>
          <w:rFonts w:hint="eastAsia" w:cs="宋体"/>
          <w:sz w:val="24"/>
        </w:rPr>
        <w:t>项目实施</w:t>
      </w:r>
    </w:p>
    <w:p>
      <w:pPr>
        <w:spacing w:line="360" w:lineRule="auto"/>
        <w:ind w:firstLine="480" w:firstLineChars="200"/>
        <w:rPr>
          <w:rFonts w:cs="宋体"/>
          <w:sz w:val="24"/>
        </w:rPr>
      </w:pPr>
      <w:r>
        <w:rPr>
          <w:rFonts w:hint="eastAsia" w:cs="宋体"/>
          <w:sz w:val="24"/>
        </w:rPr>
        <w:t>供应商要详细评估本项目实施过程中需要的辅材种类和数量，对采购人未在竞争性谈判文件中列明的辅材予以补充，并在响应文件中全部列出。在项目实际实施过程中，如因需要响应文件中未列明的辅材而产生的相应费用由供应商承担。供应商中选后，施工过程中，发现线缆损伤、设备损坏等情况，招标方有权要求更换。</w:t>
      </w:r>
    </w:p>
    <w:p>
      <w:pPr>
        <w:spacing w:line="360" w:lineRule="auto"/>
        <w:ind w:firstLine="480" w:firstLineChars="200"/>
        <w:rPr>
          <w:rFonts w:cs="宋体"/>
          <w:sz w:val="24"/>
        </w:rPr>
      </w:pPr>
      <w:r>
        <w:rPr>
          <w:rFonts w:hint="eastAsia" w:cs="宋体"/>
          <w:sz w:val="24"/>
        </w:rPr>
        <w:t>供应商需提供本项目中所需的工具、机械和辅助材料等。设备在断电、下线、上线及加电运行等过程中必须满足《技术规范与施工工艺要求》的要求。</w:t>
      </w:r>
    </w:p>
    <w:p>
      <w:pPr>
        <w:spacing w:line="360" w:lineRule="auto"/>
        <w:ind w:firstLine="480" w:firstLineChars="200"/>
        <w:rPr>
          <w:rFonts w:cs="宋体"/>
          <w:sz w:val="24"/>
        </w:rPr>
      </w:pPr>
      <w:r>
        <w:rPr>
          <w:rFonts w:hint="eastAsia" w:cs="宋体"/>
          <w:sz w:val="24"/>
        </w:rPr>
        <w:t>(2)</w:t>
      </w:r>
      <w:r>
        <w:rPr>
          <w:rFonts w:hint="eastAsia" w:cs="宋体"/>
          <w:sz w:val="24"/>
        </w:rPr>
        <w:tab/>
      </w:r>
      <w:r>
        <w:rPr>
          <w:rFonts w:hint="eastAsia" w:cs="宋体"/>
          <w:sz w:val="24"/>
        </w:rPr>
        <w:t>供应商中选后需根据采购人的机房搬迁总体工作安排，进行机房搬迁实施工作。</w:t>
      </w:r>
    </w:p>
    <w:p>
      <w:pPr>
        <w:spacing w:line="360" w:lineRule="auto"/>
        <w:ind w:firstLine="480" w:firstLineChars="200"/>
        <w:rPr>
          <w:rFonts w:cs="宋体"/>
          <w:sz w:val="24"/>
        </w:rPr>
      </w:pPr>
      <w:r>
        <w:rPr>
          <w:rFonts w:hint="eastAsia" w:cs="宋体"/>
          <w:sz w:val="24"/>
        </w:rPr>
        <w:t>(3)</w:t>
      </w:r>
      <w:r>
        <w:rPr>
          <w:rFonts w:hint="eastAsia" w:cs="宋体"/>
          <w:sz w:val="24"/>
        </w:rPr>
        <w:tab/>
      </w:r>
      <w:r>
        <w:rPr>
          <w:rFonts w:hint="eastAsia" w:cs="宋体"/>
          <w:sz w:val="24"/>
        </w:rPr>
        <w:t>搬迁前，供应商中选后需做好系统和数据的备份；搬迁过程中，确保专设备不损坏；搬迁后，完成数据的备份恢复、业务调测等工作，确保系统、设备和业务能够在最短时间内正常运行、恢复。</w:t>
      </w:r>
    </w:p>
    <w:p>
      <w:pPr>
        <w:spacing w:line="360" w:lineRule="auto"/>
        <w:ind w:firstLine="480" w:firstLineChars="200"/>
        <w:rPr>
          <w:rFonts w:cs="宋体"/>
          <w:sz w:val="24"/>
        </w:rPr>
      </w:pPr>
      <w:r>
        <w:rPr>
          <w:rFonts w:hint="eastAsia" w:cs="宋体"/>
          <w:sz w:val="24"/>
        </w:rPr>
        <w:t>(4)</w:t>
      </w:r>
      <w:r>
        <w:rPr>
          <w:rFonts w:hint="eastAsia" w:cs="宋体"/>
          <w:sz w:val="24"/>
        </w:rPr>
        <w:tab/>
      </w:r>
      <w:r>
        <w:rPr>
          <w:rFonts w:hint="eastAsia" w:cs="宋体"/>
          <w:sz w:val="24"/>
        </w:rPr>
        <w:t>供应商中选后要遵循采购人提供的搬迁原则和搬迁进度，按照系统的关键性对设备进行搬迁。</w:t>
      </w:r>
    </w:p>
    <w:p>
      <w:pPr>
        <w:spacing w:line="360" w:lineRule="auto"/>
        <w:ind w:firstLine="480" w:firstLineChars="200"/>
        <w:rPr>
          <w:rFonts w:cs="宋体"/>
          <w:sz w:val="24"/>
        </w:rPr>
      </w:pPr>
      <w:r>
        <w:rPr>
          <w:rFonts w:hint="eastAsia" w:cs="宋体"/>
          <w:sz w:val="24"/>
        </w:rPr>
        <w:t>(5)</w:t>
      </w:r>
      <w:r>
        <w:rPr>
          <w:rFonts w:hint="eastAsia" w:cs="宋体"/>
          <w:sz w:val="24"/>
        </w:rPr>
        <w:tab/>
      </w:r>
      <w:r>
        <w:rPr>
          <w:rFonts w:hint="eastAsia" w:cs="宋体"/>
          <w:sz w:val="24"/>
        </w:rPr>
        <w:t>供应商要在搬迁前对整个搬迁方案考虑到各种可能的风险，并提供相应的预防措施、补救措施，最大程度保证数据和应用系统的安全。</w:t>
      </w:r>
    </w:p>
    <w:p>
      <w:pPr>
        <w:spacing w:line="360" w:lineRule="auto"/>
        <w:ind w:firstLine="480" w:firstLineChars="200"/>
        <w:rPr>
          <w:rFonts w:cs="宋体"/>
          <w:sz w:val="24"/>
        </w:rPr>
      </w:pPr>
      <w:r>
        <w:rPr>
          <w:rFonts w:hint="eastAsia" w:cs="宋体"/>
          <w:sz w:val="24"/>
        </w:rPr>
        <w:t>(6)</w:t>
      </w:r>
      <w:r>
        <w:rPr>
          <w:rFonts w:hint="eastAsia" w:cs="宋体"/>
          <w:sz w:val="24"/>
        </w:rPr>
        <w:tab/>
      </w:r>
      <w:r>
        <w:rPr>
          <w:rFonts w:hint="eastAsia" w:cs="宋体"/>
          <w:sz w:val="24"/>
        </w:rPr>
        <w:t>在搬迁过程的各个阶段，供应商中选后必须安排足够合格的、经客户方认可的人员在现场完成搬迁工作，保证双方沟通畅顺，以及时解决项目过程中发生的问题，并且在项目过程中不得随意更换人员或未经客户方同意而随意离开客户方现场，以保证搬迁工作按质按量完成。供应商应答时必须提供详细的工程人员名单，名单中必须列明各人员的相关信息，并经由客户方确认。</w:t>
      </w:r>
    </w:p>
    <w:p>
      <w:pPr>
        <w:spacing w:line="360" w:lineRule="auto"/>
        <w:ind w:firstLine="480" w:firstLineChars="200"/>
        <w:rPr>
          <w:rFonts w:cs="宋体"/>
          <w:sz w:val="24"/>
        </w:rPr>
      </w:pPr>
      <w:r>
        <w:rPr>
          <w:rFonts w:hint="eastAsia" w:cs="宋体"/>
          <w:sz w:val="24"/>
        </w:rPr>
        <w:t>(7)</w:t>
      </w:r>
      <w:r>
        <w:rPr>
          <w:rFonts w:hint="eastAsia" w:cs="宋体"/>
          <w:sz w:val="24"/>
        </w:rPr>
        <w:tab/>
      </w:r>
      <w:r>
        <w:rPr>
          <w:rFonts w:hint="eastAsia" w:cs="宋体"/>
          <w:sz w:val="24"/>
        </w:rPr>
        <w:t>供应商在中选后至整个搬迁工作完成期间，须在采购人处安排一名以上专职项目经理负责人负责机房搬迁工作的计划、协调、督促、执行、收尾等工作。供应商中选后须根据招标方的计划进度，调整相应的人员安排、施工进度等，保证搬迁工作按时完成。</w:t>
      </w:r>
    </w:p>
    <w:p>
      <w:pPr>
        <w:spacing w:line="360" w:lineRule="auto"/>
        <w:ind w:firstLine="480" w:firstLineChars="200"/>
        <w:rPr>
          <w:rFonts w:cs="宋体"/>
          <w:sz w:val="24"/>
        </w:rPr>
      </w:pPr>
      <w:r>
        <w:rPr>
          <w:rFonts w:hint="eastAsia" w:cs="宋体"/>
          <w:sz w:val="24"/>
        </w:rPr>
        <w:t>(8)</w:t>
      </w:r>
      <w:r>
        <w:rPr>
          <w:rFonts w:hint="eastAsia" w:cs="宋体"/>
          <w:sz w:val="24"/>
        </w:rPr>
        <w:tab/>
      </w:r>
      <w:r>
        <w:rPr>
          <w:rFonts w:hint="eastAsia" w:cs="宋体"/>
          <w:sz w:val="24"/>
        </w:rPr>
        <w:t>上述技术要求必须视为项目建设所需的基本要求，供应商可到采购人现场勘探，并根据勘探情况进行完善，如有遗漏，供应商应予以补充，否则供应商中选后将认为认同遗漏部分并免费提供。</w:t>
      </w:r>
    </w:p>
    <w:p>
      <w:pPr>
        <w:pStyle w:val="67"/>
        <w:ind w:firstLine="480"/>
      </w:pPr>
      <w:r>
        <w:rPr>
          <w:rFonts w:hint="eastAsia" w:cs="宋体"/>
          <w:sz w:val="24"/>
        </w:rPr>
        <w:t>★2</w:t>
      </w:r>
      <w:r>
        <w:rPr>
          <w:rFonts w:cs="宋体"/>
          <w:sz w:val="24"/>
        </w:rPr>
        <w:t>.2</w:t>
      </w:r>
      <w:r>
        <w:rPr>
          <w:rFonts w:hint="eastAsia"/>
        </w:rPr>
        <w:t>施工工艺要求：</w:t>
      </w:r>
    </w:p>
    <w:p>
      <w:pPr>
        <w:pStyle w:val="67"/>
        <w:ind w:firstLine="440"/>
        <w:rPr>
          <w:bCs/>
        </w:rPr>
      </w:pPr>
      <w:r>
        <w:rPr>
          <w:rFonts w:hint="eastAsia"/>
        </w:rPr>
        <w:t>2.</w:t>
      </w:r>
      <w:r>
        <w:t>2.1</w:t>
      </w:r>
      <w:r>
        <w:rPr>
          <w:rFonts w:hint="eastAsia"/>
        </w:rPr>
        <w:t>方案及图纸要求</w:t>
      </w:r>
    </w:p>
    <w:p>
      <w:pPr>
        <w:adjustRightInd w:val="0"/>
        <w:snapToGrid w:val="0"/>
        <w:spacing w:line="360" w:lineRule="auto"/>
        <w:ind w:firstLine="420"/>
        <w:rPr>
          <w:szCs w:val="21"/>
        </w:rPr>
      </w:pPr>
      <w:r>
        <w:rPr>
          <w:szCs w:val="21"/>
        </w:rPr>
        <w:t>供应商</w:t>
      </w:r>
      <w:r>
        <w:rPr>
          <w:rFonts w:hint="eastAsia"/>
          <w:szCs w:val="21"/>
        </w:rPr>
        <w:t>须</w:t>
      </w:r>
      <w:r>
        <w:rPr>
          <w:szCs w:val="21"/>
        </w:rPr>
        <w:t>提供</w:t>
      </w:r>
      <w:r>
        <w:rPr>
          <w:rFonts w:hint="eastAsia"/>
          <w:szCs w:val="21"/>
        </w:rPr>
        <w:t>项目实施方案和图纸资料等。</w:t>
      </w:r>
    </w:p>
    <w:p>
      <w:pPr>
        <w:pStyle w:val="67"/>
        <w:ind w:firstLine="440"/>
        <w:rPr>
          <w:bCs/>
        </w:rPr>
      </w:pPr>
      <w:r>
        <w:rPr>
          <w:rFonts w:hint="eastAsia"/>
        </w:rPr>
        <w:t>2.</w:t>
      </w:r>
      <w:r>
        <w:t>2.2</w:t>
      </w:r>
      <w:r>
        <w:rPr>
          <w:rFonts w:hint="eastAsia"/>
        </w:rPr>
        <w:t>实施人员要求</w:t>
      </w:r>
    </w:p>
    <w:p>
      <w:pPr>
        <w:adjustRightInd w:val="0"/>
        <w:snapToGrid w:val="0"/>
        <w:spacing w:line="360" w:lineRule="auto"/>
        <w:ind w:firstLine="420"/>
        <w:rPr>
          <w:szCs w:val="21"/>
        </w:rPr>
      </w:pPr>
      <w:r>
        <w:rPr>
          <w:rFonts w:hint="eastAsia"/>
          <w:szCs w:val="21"/>
        </w:rPr>
        <w:t>实施人员要求包含但不限于以下方面：</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6133"/>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szCs w:val="21"/>
              </w:rPr>
            </w:pPr>
            <w:r>
              <w:rPr>
                <w:rFonts w:hint="eastAsia"/>
                <w:szCs w:val="21"/>
              </w:rPr>
              <w:t>序号</w:t>
            </w:r>
          </w:p>
        </w:tc>
        <w:tc>
          <w:tcPr>
            <w:tcW w:w="6976" w:type="dxa"/>
          </w:tcPr>
          <w:p>
            <w:pPr>
              <w:adjustRightInd w:val="0"/>
              <w:snapToGrid w:val="0"/>
              <w:spacing w:line="276" w:lineRule="auto"/>
              <w:ind w:firstLine="420"/>
              <w:jc w:val="center"/>
              <w:rPr>
                <w:szCs w:val="21"/>
              </w:rPr>
            </w:pPr>
            <w:r>
              <w:rPr>
                <w:rFonts w:hint="eastAsia"/>
                <w:szCs w:val="21"/>
              </w:rPr>
              <w:t>要求</w:t>
            </w:r>
          </w:p>
        </w:tc>
        <w:tc>
          <w:tcPr>
            <w:tcW w:w="1701" w:type="dxa"/>
          </w:tcPr>
          <w:p>
            <w:pPr>
              <w:adjustRightInd w:val="0"/>
              <w:snapToGrid w:val="0"/>
              <w:spacing w:line="276" w:lineRule="auto"/>
              <w:ind w:firstLine="420"/>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1</w:t>
            </w:r>
          </w:p>
        </w:tc>
        <w:tc>
          <w:tcPr>
            <w:tcW w:w="6976" w:type="dxa"/>
          </w:tcPr>
          <w:p>
            <w:pPr>
              <w:adjustRightInd w:val="0"/>
              <w:snapToGrid w:val="0"/>
              <w:spacing w:line="276" w:lineRule="auto"/>
              <w:rPr>
                <w:szCs w:val="21"/>
              </w:rPr>
            </w:pPr>
            <w:r>
              <w:rPr>
                <w:rFonts w:hint="eastAsia"/>
                <w:szCs w:val="21"/>
              </w:rPr>
              <w:t>实施人员要服从施工现场负责人的指挥，施工中所遇到的问题要及时向负责人汇报。</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2</w:t>
            </w:r>
          </w:p>
        </w:tc>
        <w:tc>
          <w:tcPr>
            <w:tcW w:w="6976" w:type="dxa"/>
          </w:tcPr>
          <w:p>
            <w:pPr>
              <w:adjustRightInd w:val="0"/>
              <w:snapToGrid w:val="0"/>
              <w:spacing w:line="276" w:lineRule="auto"/>
              <w:rPr>
                <w:szCs w:val="21"/>
              </w:rPr>
            </w:pPr>
            <w:r>
              <w:rPr>
                <w:rFonts w:hint="eastAsia"/>
                <w:szCs w:val="21"/>
              </w:rPr>
              <w:t>实施人员施工中要认真负责，每一项工作都要按照相关规范完成。</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3</w:t>
            </w:r>
          </w:p>
        </w:tc>
        <w:tc>
          <w:tcPr>
            <w:tcW w:w="6976" w:type="dxa"/>
          </w:tcPr>
          <w:p>
            <w:pPr>
              <w:adjustRightInd w:val="0"/>
              <w:snapToGrid w:val="0"/>
              <w:spacing w:line="276" w:lineRule="auto"/>
              <w:rPr>
                <w:rFonts w:cs="Arial"/>
                <w:szCs w:val="21"/>
              </w:rPr>
            </w:pPr>
            <w:r>
              <w:rPr>
                <w:rFonts w:hint="eastAsia"/>
                <w:szCs w:val="21"/>
              </w:rPr>
              <w:t>实施人员要注意各方面的安全，其中包括施工安全、用电安全；如出现安全问题由供应商承担。</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4</w:t>
            </w:r>
          </w:p>
        </w:tc>
        <w:tc>
          <w:tcPr>
            <w:tcW w:w="6976" w:type="dxa"/>
          </w:tcPr>
          <w:p>
            <w:pPr>
              <w:adjustRightInd w:val="0"/>
              <w:snapToGrid w:val="0"/>
              <w:spacing w:line="276" w:lineRule="auto"/>
              <w:rPr>
                <w:rFonts w:cs="Arial"/>
                <w:szCs w:val="21"/>
              </w:rPr>
            </w:pPr>
            <w:r>
              <w:rPr>
                <w:rFonts w:hint="eastAsia"/>
                <w:szCs w:val="21"/>
              </w:rPr>
              <w:t>实施人员要注意节省施工材料。</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5</w:t>
            </w:r>
          </w:p>
        </w:tc>
        <w:tc>
          <w:tcPr>
            <w:tcW w:w="6976" w:type="dxa"/>
          </w:tcPr>
          <w:p>
            <w:pPr>
              <w:adjustRightInd w:val="0"/>
              <w:snapToGrid w:val="0"/>
              <w:spacing w:line="276" w:lineRule="auto"/>
              <w:rPr>
                <w:szCs w:val="21"/>
              </w:rPr>
            </w:pPr>
            <w:r>
              <w:rPr>
                <w:rFonts w:hint="eastAsia"/>
                <w:szCs w:val="21"/>
              </w:rPr>
              <w:t>实施人员要保持环境卫生，施工结束后必须清理施工环境。</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6</w:t>
            </w:r>
          </w:p>
        </w:tc>
        <w:tc>
          <w:tcPr>
            <w:tcW w:w="6976" w:type="dxa"/>
          </w:tcPr>
          <w:p>
            <w:pPr>
              <w:adjustRightInd w:val="0"/>
              <w:snapToGrid w:val="0"/>
              <w:spacing w:line="276" w:lineRule="auto"/>
              <w:rPr>
                <w:rFonts w:cs="Arial"/>
                <w:szCs w:val="21"/>
              </w:rPr>
            </w:pPr>
            <w:r>
              <w:rPr>
                <w:rFonts w:hint="eastAsia"/>
                <w:szCs w:val="21"/>
              </w:rPr>
              <w:t>实施人员禁止酒后施工作业；在机房内、施工现场及明确禁止吸烟的区域，禁止吸烟。</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7</w:t>
            </w:r>
          </w:p>
        </w:tc>
        <w:tc>
          <w:tcPr>
            <w:tcW w:w="6976" w:type="dxa"/>
          </w:tcPr>
          <w:p>
            <w:pPr>
              <w:adjustRightInd w:val="0"/>
              <w:snapToGrid w:val="0"/>
              <w:spacing w:line="276" w:lineRule="auto"/>
              <w:rPr>
                <w:szCs w:val="21"/>
              </w:rPr>
            </w:pPr>
            <w:r>
              <w:rPr>
                <w:rFonts w:hint="eastAsia"/>
                <w:szCs w:val="21"/>
              </w:rPr>
              <w:t>实施人员</w:t>
            </w:r>
            <w:r>
              <w:rPr>
                <w:szCs w:val="21"/>
              </w:rPr>
              <w:t>拆卸、包装和安装调试设备时须对场地内的其它设备、设施有良好的保护措施</w:t>
            </w:r>
            <w:r>
              <w:rPr>
                <w:rFonts w:hint="eastAsia"/>
                <w:szCs w:val="21"/>
              </w:rPr>
              <w:t>，</w:t>
            </w:r>
            <w:r>
              <w:rPr>
                <w:szCs w:val="21"/>
              </w:rPr>
              <w:t>应遵守</w:t>
            </w:r>
            <w:r>
              <w:rPr>
                <w:rFonts w:hint="eastAsia"/>
                <w:szCs w:val="21"/>
              </w:rPr>
              <w:t>采购人</w:t>
            </w:r>
            <w:r>
              <w:rPr>
                <w:szCs w:val="21"/>
              </w:rPr>
              <w:t>的规章制度。</w:t>
            </w:r>
          </w:p>
        </w:tc>
        <w:tc>
          <w:tcPr>
            <w:tcW w:w="1701" w:type="dxa"/>
          </w:tcPr>
          <w:p>
            <w:pPr>
              <w:adjustRightInd w:val="0"/>
              <w:snapToGrid w:val="0"/>
              <w:spacing w:line="276" w:lineRule="auto"/>
              <w:ind w:firstLine="420"/>
              <w:rPr>
                <w:szCs w:val="21"/>
              </w:rPr>
            </w:pPr>
          </w:p>
        </w:tc>
      </w:tr>
    </w:tbl>
    <w:p>
      <w:pPr>
        <w:pStyle w:val="67"/>
        <w:ind w:firstLine="440"/>
        <w:rPr>
          <w:bCs/>
        </w:rPr>
      </w:pPr>
      <w:r>
        <w:rPr>
          <w:rFonts w:hint="eastAsia"/>
        </w:rPr>
        <w:t>2.</w:t>
      </w:r>
      <w:r>
        <w:t>2.3</w:t>
      </w:r>
      <w:r>
        <w:rPr>
          <w:rFonts w:hint="eastAsia"/>
        </w:rPr>
        <w:t>安装要求</w:t>
      </w:r>
    </w:p>
    <w:p>
      <w:pPr>
        <w:adjustRightInd w:val="0"/>
        <w:snapToGrid w:val="0"/>
        <w:spacing w:line="360" w:lineRule="auto"/>
        <w:ind w:firstLine="420"/>
        <w:rPr>
          <w:szCs w:val="21"/>
        </w:rPr>
      </w:pPr>
      <w:r>
        <w:rPr>
          <w:rFonts w:hint="eastAsia"/>
          <w:szCs w:val="21"/>
        </w:rPr>
        <w:t>安装要求包含但不限于以下方面：</w:t>
      </w:r>
    </w:p>
    <w:p>
      <w:pPr>
        <w:adjustRightInd w:val="0"/>
        <w:snapToGrid w:val="0"/>
        <w:spacing w:line="360" w:lineRule="auto"/>
        <w:ind w:firstLine="420"/>
        <w:rPr>
          <w:szCs w:val="21"/>
        </w:rPr>
      </w:pPr>
      <w:r>
        <w:rPr>
          <w:rFonts w:hint="eastAsia"/>
          <w:szCs w:val="21"/>
        </w:rPr>
        <w:t>（</w:t>
      </w:r>
      <w:r>
        <w:rPr>
          <w:szCs w:val="21"/>
        </w:rPr>
        <w:t>1</w:t>
      </w:r>
      <w:r>
        <w:rPr>
          <w:rFonts w:hint="eastAsia"/>
          <w:szCs w:val="21"/>
        </w:rPr>
        <w:t>）设备安装</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6133"/>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szCs w:val="21"/>
              </w:rPr>
            </w:pPr>
            <w:r>
              <w:rPr>
                <w:rFonts w:hint="eastAsia"/>
                <w:szCs w:val="21"/>
              </w:rPr>
              <w:t>序号</w:t>
            </w:r>
          </w:p>
        </w:tc>
        <w:tc>
          <w:tcPr>
            <w:tcW w:w="6976" w:type="dxa"/>
          </w:tcPr>
          <w:p>
            <w:pPr>
              <w:adjustRightInd w:val="0"/>
              <w:snapToGrid w:val="0"/>
              <w:spacing w:line="276" w:lineRule="auto"/>
              <w:ind w:firstLine="420"/>
              <w:jc w:val="center"/>
              <w:rPr>
                <w:szCs w:val="21"/>
              </w:rPr>
            </w:pPr>
            <w:r>
              <w:rPr>
                <w:rFonts w:hint="eastAsia"/>
                <w:szCs w:val="21"/>
              </w:rPr>
              <w:t>要求</w:t>
            </w:r>
          </w:p>
        </w:tc>
        <w:tc>
          <w:tcPr>
            <w:tcW w:w="1701" w:type="dxa"/>
          </w:tcPr>
          <w:p>
            <w:pPr>
              <w:adjustRightInd w:val="0"/>
              <w:snapToGrid w:val="0"/>
              <w:spacing w:line="276" w:lineRule="auto"/>
              <w:ind w:firstLine="420"/>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1</w:t>
            </w:r>
          </w:p>
        </w:tc>
        <w:tc>
          <w:tcPr>
            <w:tcW w:w="6976" w:type="dxa"/>
          </w:tcPr>
          <w:p>
            <w:pPr>
              <w:adjustRightInd w:val="0"/>
              <w:snapToGrid w:val="0"/>
              <w:spacing w:line="276" w:lineRule="auto"/>
              <w:jc w:val="left"/>
              <w:rPr>
                <w:szCs w:val="21"/>
              </w:rPr>
            </w:pPr>
            <w:r>
              <w:rPr>
                <w:rFonts w:hint="eastAsia"/>
                <w:szCs w:val="21"/>
              </w:rPr>
              <w:t>按照采购人的工艺流程和系统设备布局进行设备安装，</w:t>
            </w:r>
            <w:r>
              <w:rPr>
                <w:szCs w:val="21"/>
              </w:rPr>
              <w:t>安装操作应符合设备原厂商的操作规范、流程和步骤</w:t>
            </w:r>
            <w:r>
              <w:rPr>
                <w:rFonts w:hint="eastAsia"/>
                <w:szCs w:val="21"/>
              </w:rPr>
              <w:t>，设备布局的美观。</w:t>
            </w:r>
          </w:p>
        </w:tc>
        <w:tc>
          <w:tcPr>
            <w:tcW w:w="1701" w:type="dxa"/>
          </w:tcPr>
          <w:p>
            <w:pPr>
              <w:adjustRightInd w:val="0"/>
              <w:snapToGrid w:val="0"/>
              <w:spacing w:line="276" w:lineRule="auto"/>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2</w:t>
            </w:r>
          </w:p>
        </w:tc>
        <w:tc>
          <w:tcPr>
            <w:tcW w:w="6976" w:type="dxa"/>
          </w:tcPr>
          <w:p>
            <w:pPr>
              <w:adjustRightInd w:val="0"/>
              <w:snapToGrid w:val="0"/>
              <w:spacing w:line="276" w:lineRule="auto"/>
              <w:jc w:val="left"/>
              <w:rPr>
                <w:szCs w:val="21"/>
              </w:rPr>
            </w:pPr>
            <w:r>
              <w:rPr>
                <w:rFonts w:hint="eastAsia" w:cs="Arial"/>
                <w:szCs w:val="21"/>
              </w:rPr>
              <w:t>设备安装平稳牢固。</w:t>
            </w:r>
          </w:p>
        </w:tc>
        <w:tc>
          <w:tcPr>
            <w:tcW w:w="1701" w:type="dxa"/>
          </w:tcPr>
          <w:p>
            <w:pPr>
              <w:adjustRightInd w:val="0"/>
              <w:snapToGrid w:val="0"/>
              <w:spacing w:line="276" w:lineRule="auto"/>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3</w:t>
            </w:r>
          </w:p>
        </w:tc>
        <w:tc>
          <w:tcPr>
            <w:tcW w:w="6976" w:type="dxa"/>
          </w:tcPr>
          <w:p>
            <w:pPr>
              <w:adjustRightInd w:val="0"/>
              <w:snapToGrid w:val="0"/>
              <w:spacing w:line="276" w:lineRule="auto"/>
              <w:rPr>
                <w:color w:val="000000"/>
                <w:szCs w:val="21"/>
              </w:rPr>
            </w:pPr>
            <w:r>
              <w:rPr>
                <w:rFonts w:hint="eastAsia" w:cs="Arial"/>
                <w:szCs w:val="21"/>
              </w:rPr>
              <w:t>安装螺丝必须拧紧，面板应保持在一个平面上。</w:t>
            </w:r>
          </w:p>
        </w:tc>
        <w:tc>
          <w:tcPr>
            <w:tcW w:w="1701" w:type="dxa"/>
          </w:tcPr>
          <w:p>
            <w:pPr>
              <w:adjustRightInd w:val="0"/>
              <w:snapToGrid w:val="0"/>
              <w:spacing w:line="276" w:lineRule="auto"/>
              <w:ind w:firstLine="420"/>
              <w:rPr>
                <w:szCs w:val="21"/>
              </w:rPr>
            </w:pPr>
          </w:p>
        </w:tc>
      </w:tr>
    </w:tbl>
    <w:p>
      <w:pPr>
        <w:tabs>
          <w:tab w:val="left" w:pos="3869"/>
        </w:tabs>
        <w:adjustRightInd w:val="0"/>
        <w:snapToGrid w:val="0"/>
        <w:spacing w:line="360" w:lineRule="auto"/>
        <w:ind w:firstLine="420"/>
        <w:rPr>
          <w:szCs w:val="21"/>
        </w:rPr>
      </w:pPr>
      <w:r>
        <w:rPr>
          <w:rFonts w:hint="eastAsia"/>
          <w:szCs w:val="21"/>
        </w:rPr>
        <w:t>（</w:t>
      </w:r>
      <w:r>
        <w:rPr>
          <w:szCs w:val="21"/>
        </w:rPr>
        <w:t>2</w:t>
      </w:r>
      <w:r>
        <w:rPr>
          <w:rFonts w:hint="eastAsia"/>
          <w:szCs w:val="21"/>
        </w:rPr>
        <w:t>）线缆连接</w:t>
      </w:r>
      <w:r>
        <w:rPr>
          <w:szCs w:val="21"/>
        </w:rPr>
        <w:tab/>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6133"/>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szCs w:val="21"/>
              </w:rPr>
            </w:pPr>
            <w:r>
              <w:rPr>
                <w:rFonts w:hint="eastAsia"/>
                <w:szCs w:val="21"/>
              </w:rPr>
              <w:t>序号</w:t>
            </w:r>
          </w:p>
        </w:tc>
        <w:tc>
          <w:tcPr>
            <w:tcW w:w="6976" w:type="dxa"/>
          </w:tcPr>
          <w:p>
            <w:pPr>
              <w:adjustRightInd w:val="0"/>
              <w:snapToGrid w:val="0"/>
              <w:spacing w:line="276" w:lineRule="auto"/>
              <w:ind w:firstLine="420"/>
              <w:jc w:val="center"/>
              <w:rPr>
                <w:szCs w:val="21"/>
              </w:rPr>
            </w:pPr>
            <w:r>
              <w:rPr>
                <w:rFonts w:hint="eastAsia"/>
                <w:szCs w:val="21"/>
              </w:rPr>
              <w:t>要求</w:t>
            </w:r>
          </w:p>
        </w:tc>
        <w:tc>
          <w:tcPr>
            <w:tcW w:w="1701" w:type="dxa"/>
          </w:tcPr>
          <w:p>
            <w:pPr>
              <w:adjustRightInd w:val="0"/>
              <w:snapToGrid w:val="0"/>
              <w:spacing w:line="276" w:lineRule="auto"/>
              <w:ind w:firstLine="420"/>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1</w:t>
            </w:r>
          </w:p>
        </w:tc>
        <w:tc>
          <w:tcPr>
            <w:tcW w:w="6976" w:type="dxa"/>
          </w:tcPr>
          <w:p>
            <w:pPr>
              <w:adjustRightInd w:val="0"/>
              <w:snapToGrid w:val="0"/>
              <w:spacing w:line="276" w:lineRule="auto"/>
              <w:jc w:val="left"/>
              <w:rPr>
                <w:szCs w:val="21"/>
              </w:rPr>
            </w:pPr>
            <w:r>
              <w:rPr>
                <w:rFonts w:hint="eastAsia"/>
                <w:szCs w:val="21"/>
              </w:rPr>
              <w:t>由供应商工程师仔细按照线表、图纸连接设备，紧固每一个插头，确保连接正确、可靠。</w:t>
            </w:r>
          </w:p>
        </w:tc>
        <w:tc>
          <w:tcPr>
            <w:tcW w:w="1701" w:type="dxa"/>
          </w:tcPr>
          <w:p>
            <w:pPr>
              <w:adjustRightInd w:val="0"/>
              <w:snapToGrid w:val="0"/>
              <w:spacing w:line="276" w:lineRule="auto"/>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2</w:t>
            </w:r>
          </w:p>
        </w:tc>
        <w:tc>
          <w:tcPr>
            <w:tcW w:w="6976" w:type="dxa"/>
          </w:tcPr>
          <w:p>
            <w:pPr>
              <w:adjustRightInd w:val="0"/>
              <w:snapToGrid w:val="0"/>
              <w:spacing w:line="276" w:lineRule="auto"/>
              <w:jc w:val="left"/>
              <w:rPr>
                <w:szCs w:val="21"/>
              </w:rPr>
            </w:pPr>
            <w:r>
              <w:rPr>
                <w:rFonts w:hint="eastAsia"/>
                <w:szCs w:val="21"/>
              </w:rPr>
              <w:t>光纤按照工艺要求连接。</w:t>
            </w:r>
          </w:p>
        </w:tc>
        <w:tc>
          <w:tcPr>
            <w:tcW w:w="1701" w:type="dxa"/>
          </w:tcPr>
          <w:p>
            <w:pPr>
              <w:adjustRightInd w:val="0"/>
              <w:snapToGrid w:val="0"/>
              <w:spacing w:line="276" w:lineRule="auto"/>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3</w:t>
            </w:r>
          </w:p>
        </w:tc>
        <w:tc>
          <w:tcPr>
            <w:tcW w:w="6976" w:type="dxa"/>
          </w:tcPr>
          <w:p>
            <w:pPr>
              <w:adjustRightInd w:val="0"/>
              <w:snapToGrid w:val="0"/>
              <w:spacing w:line="276" w:lineRule="auto"/>
              <w:jc w:val="left"/>
              <w:rPr>
                <w:szCs w:val="21"/>
              </w:rPr>
            </w:pPr>
            <w:r>
              <w:rPr>
                <w:rFonts w:hint="eastAsia"/>
                <w:szCs w:val="21"/>
              </w:rPr>
              <w:t>招标方系统负责人进行核对。</w:t>
            </w:r>
          </w:p>
        </w:tc>
        <w:tc>
          <w:tcPr>
            <w:tcW w:w="1701" w:type="dxa"/>
          </w:tcPr>
          <w:p>
            <w:pPr>
              <w:adjustRightInd w:val="0"/>
              <w:snapToGrid w:val="0"/>
              <w:spacing w:line="276" w:lineRule="auto"/>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4</w:t>
            </w:r>
          </w:p>
        </w:tc>
        <w:tc>
          <w:tcPr>
            <w:tcW w:w="6976" w:type="dxa"/>
          </w:tcPr>
          <w:p>
            <w:pPr>
              <w:adjustRightInd w:val="0"/>
              <w:snapToGrid w:val="0"/>
              <w:spacing w:line="276" w:lineRule="auto"/>
              <w:rPr>
                <w:szCs w:val="21"/>
              </w:rPr>
            </w:pPr>
            <w:r>
              <w:rPr>
                <w:rFonts w:hint="eastAsia" w:cs="Arial"/>
                <w:szCs w:val="21"/>
              </w:rPr>
              <w:t>接头与设备接口对接固定良好。</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5</w:t>
            </w:r>
          </w:p>
        </w:tc>
        <w:tc>
          <w:tcPr>
            <w:tcW w:w="6976" w:type="dxa"/>
          </w:tcPr>
          <w:p>
            <w:pPr>
              <w:adjustRightInd w:val="0"/>
              <w:snapToGrid w:val="0"/>
              <w:spacing w:line="276" w:lineRule="auto"/>
              <w:rPr>
                <w:color w:val="000000"/>
                <w:szCs w:val="21"/>
              </w:rPr>
            </w:pPr>
            <w:r>
              <w:rPr>
                <w:rFonts w:hint="eastAsia" w:cs="Arial"/>
                <w:szCs w:val="21"/>
              </w:rPr>
              <w:t>保证设备接地，设备的接地线与本机柜接地铜条相连。</w:t>
            </w:r>
          </w:p>
        </w:tc>
        <w:tc>
          <w:tcPr>
            <w:tcW w:w="1701"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ind w:firstLine="420"/>
              <w:jc w:val="center"/>
              <w:rPr>
                <w:szCs w:val="21"/>
              </w:rPr>
            </w:pPr>
            <w:r>
              <w:rPr>
                <w:szCs w:val="21"/>
              </w:rPr>
              <w:t>6</w:t>
            </w:r>
          </w:p>
        </w:tc>
        <w:tc>
          <w:tcPr>
            <w:tcW w:w="6976" w:type="dxa"/>
          </w:tcPr>
          <w:p>
            <w:pPr>
              <w:adjustRightInd w:val="0"/>
              <w:snapToGrid w:val="0"/>
              <w:spacing w:line="276" w:lineRule="auto"/>
              <w:rPr>
                <w:rFonts w:cs="Arial"/>
                <w:szCs w:val="21"/>
              </w:rPr>
            </w:pPr>
            <w:r>
              <w:rPr>
                <w:rFonts w:hint="eastAsia"/>
                <w:szCs w:val="21"/>
              </w:rPr>
              <w:t>电源线需等系统搬迁完毕后统一插接。</w:t>
            </w:r>
          </w:p>
        </w:tc>
        <w:tc>
          <w:tcPr>
            <w:tcW w:w="1701" w:type="dxa"/>
          </w:tcPr>
          <w:p>
            <w:pPr>
              <w:adjustRightInd w:val="0"/>
              <w:snapToGrid w:val="0"/>
              <w:spacing w:line="276" w:lineRule="auto"/>
              <w:ind w:firstLine="420"/>
              <w:rPr>
                <w:szCs w:val="21"/>
              </w:rPr>
            </w:pPr>
          </w:p>
        </w:tc>
      </w:tr>
    </w:tbl>
    <w:p>
      <w:pPr>
        <w:adjustRightInd w:val="0"/>
        <w:snapToGrid w:val="0"/>
        <w:spacing w:line="360" w:lineRule="auto"/>
        <w:ind w:firstLine="420"/>
        <w:rPr>
          <w:szCs w:val="21"/>
        </w:rPr>
      </w:pPr>
      <w:r>
        <w:rPr>
          <w:rFonts w:hint="eastAsia"/>
          <w:szCs w:val="21"/>
        </w:rPr>
        <w:t>（</w:t>
      </w:r>
      <w:r>
        <w:rPr>
          <w:szCs w:val="21"/>
        </w:rPr>
        <w:t>3</w:t>
      </w:r>
      <w:r>
        <w:rPr>
          <w:rFonts w:hint="eastAsia"/>
          <w:szCs w:val="21"/>
        </w:rPr>
        <w:t>）系统电源的加载</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1"/>
        <w:gridCol w:w="6163"/>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 w:type="dxa"/>
            <w:vAlign w:val="center"/>
          </w:tcPr>
          <w:p>
            <w:pPr>
              <w:adjustRightInd w:val="0"/>
              <w:snapToGrid w:val="0"/>
              <w:spacing w:line="276" w:lineRule="auto"/>
              <w:jc w:val="center"/>
              <w:rPr>
                <w:szCs w:val="21"/>
              </w:rPr>
            </w:pPr>
            <w:r>
              <w:rPr>
                <w:rFonts w:hint="eastAsia"/>
                <w:szCs w:val="21"/>
              </w:rPr>
              <w:t>序号</w:t>
            </w:r>
          </w:p>
        </w:tc>
        <w:tc>
          <w:tcPr>
            <w:tcW w:w="6163" w:type="dxa"/>
          </w:tcPr>
          <w:p>
            <w:pPr>
              <w:adjustRightInd w:val="0"/>
              <w:snapToGrid w:val="0"/>
              <w:spacing w:line="276" w:lineRule="auto"/>
              <w:ind w:firstLine="420"/>
              <w:jc w:val="center"/>
              <w:rPr>
                <w:szCs w:val="21"/>
              </w:rPr>
            </w:pPr>
            <w:r>
              <w:rPr>
                <w:rFonts w:hint="eastAsia"/>
                <w:szCs w:val="21"/>
              </w:rPr>
              <w:t>要求</w:t>
            </w:r>
          </w:p>
        </w:tc>
        <w:tc>
          <w:tcPr>
            <w:tcW w:w="1392" w:type="dxa"/>
          </w:tcPr>
          <w:p>
            <w:pPr>
              <w:adjustRightInd w:val="0"/>
              <w:snapToGrid w:val="0"/>
              <w:spacing w:line="276" w:lineRule="auto"/>
              <w:ind w:firstLine="420"/>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 w:type="dxa"/>
            <w:vAlign w:val="center"/>
          </w:tcPr>
          <w:p>
            <w:pPr>
              <w:adjustRightInd w:val="0"/>
              <w:snapToGrid w:val="0"/>
              <w:spacing w:line="276" w:lineRule="auto"/>
              <w:ind w:firstLine="420"/>
              <w:jc w:val="center"/>
              <w:rPr>
                <w:szCs w:val="21"/>
              </w:rPr>
            </w:pPr>
            <w:r>
              <w:rPr>
                <w:szCs w:val="21"/>
              </w:rPr>
              <w:t>1</w:t>
            </w:r>
          </w:p>
        </w:tc>
        <w:tc>
          <w:tcPr>
            <w:tcW w:w="6163" w:type="dxa"/>
          </w:tcPr>
          <w:p>
            <w:pPr>
              <w:adjustRightInd w:val="0"/>
              <w:snapToGrid w:val="0"/>
              <w:spacing w:line="276" w:lineRule="auto"/>
              <w:jc w:val="left"/>
              <w:rPr>
                <w:szCs w:val="21"/>
              </w:rPr>
            </w:pPr>
            <w:r>
              <w:rPr>
                <w:rFonts w:hint="eastAsia"/>
                <w:szCs w:val="21"/>
              </w:rPr>
              <w:t>系统电源加载前应确认所有设备均为关闭状态。</w:t>
            </w:r>
          </w:p>
        </w:tc>
        <w:tc>
          <w:tcPr>
            <w:tcW w:w="1392" w:type="dxa"/>
          </w:tcPr>
          <w:p>
            <w:pPr>
              <w:adjustRightInd w:val="0"/>
              <w:snapToGrid w:val="0"/>
              <w:spacing w:line="276" w:lineRule="auto"/>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 w:type="dxa"/>
            <w:vAlign w:val="center"/>
          </w:tcPr>
          <w:p>
            <w:pPr>
              <w:adjustRightInd w:val="0"/>
              <w:snapToGrid w:val="0"/>
              <w:spacing w:line="276" w:lineRule="auto"/>
              <w:ind w:firstLine="420"/>
              <w:jc w:val="center"/>
              <w:rPr>
                <w:szCs w:val="21"/>
              </w:rPr>
            </w:pPr>
            <w:r>
              <w:rPr>
                <w:szCs w:val="21"/>
              </w:rPr>
              <w:t>2</w:t>
            </w:r>
          </w:p>
        </w:tc>
        <w:tc>
          <w:tcPr>
            <w:tcW w:w="6163" w:type="dxa"/>
          </w:tcPr>
          <w:p>
            <w:pPr>
              <w:adjustRightInd w:val="0"/>
              <w:snapToGrid w:val="0"/>
              <w:spacing w:line="276" w:lineRule="auto"/>
              <w:jc w:val="left"/>
              <w:rPr>
                <w:szCs w:val="21"/>
              </w:rPr>
            </w:pPr>
            <w:r>
              <w:rPr>
                <w:rFonts w:hint="eastAsia"/>
                <w:szCs w:val="21"/>
              </w:rPr>
              <w:t>系统电源加载前应重新确认电源的火、零、地的方向是否正确，电压是否正常。</w:t>
            </w:r>
          </w:p>
        </w:tc>
        <w:tc>
          <w:tcPr>
            <w:tcW w:w="1392" w:type="dxa"/>
          </w:tcPr>
          <w:p>
            <w:pPr>
              <w:adjustRightInd w:val="0"/>
              <w:snapToGrid w:val="0"/>
              <w:spacing w:line="276" w:lineRule="auto"/>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 w:type="dxa"/>
            <w:vAlign w:val="center"/>
          </w:tcPr>
          <w:p>
            <w:pPr>
              <w:adjustRightInd w:val="0"/>
              <w:snapToGrid w:val="0"/>
              <w:spacing w:line="276" w:lineRule="auto"/>
              <w:ind w:firstLine="420"/>
              <w:jc w:val="center"/>
              <w:rPr>
                <w:szCs w:val="21"/>
              </w:rPr>
            </w:pPr>
            <w:r>
              <w:rPr>
                <w:szCs w:val="21"/>
              </w:rPr>
              <w:t>3</w:t>
            </w:r>
          </w:p>
        </w:tc>
        <w:tc>
          <w:tcPr>
            <w:tcW w:w="6163" w:type="dxa"/>
          </w:tcPr>
          <w:p>
            <w:pPr>
              <w:adjustRightInd w:val="0"/>
              <w:snapToGrid w:val="0"/>
              <w:spacing w:line="276" w:lineRule="auto"/>
              <w:rPr>
                <w:szCs w:val="21"/>
              </w:rPr>
            </w:pPr>
            <w:r>
              <w:rPr>
                <w:rFonts w:hint="eastAsia"/>
                <w:szCs w:val="21"/>
              </w:rPr>
              <w:t>应确认所有设备是否为中国标准市电方式。</w:t>
            </w:r>
          </w:p>
        </w:tc>
        <w:tc>
          <w:tcPr>
            <w:tcW w:w="1392"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 w:type="dxa"/>
            <w:vAlign w:val="center"/>
          </w:tcPr>
          <w:p>
            <w:pPr>
              <w:adjustRightInd w:val="0"/>
              <w:snapToGrid w:val="0"/>
              <w:spacing w:line="276" w:lineRule="auto"/>
              <w:ind w:firstLine="420"/>
              <w:jc w:val="center"/>
              <w:rPr>
                <w:szCs w:val="21"/>
              </w:rPr>
            </w:pPr>
            <w:r>
              <w:rPr>
                <w:rFonts w:hint="eastAsia"/>
                <w:szCs w:val="21"/>
              </w:rPr>
              <w:t>4</w:t>
            </w:r>
          </w:p>
        </w:tc>
        <w:tc>
          <w:tcPr>
            <w:tcW w:w="6163" w:type="dxa"/>
          </w:tcPr>
          <w:p>
            <w:pPr>
              <w:adjustRightInd w:val="0"/>
              <w:snapToGrid w:val="0"/>
              <w:spacing w:line="276" w:lineRule="auto"/>
              <w:rPr>
                <w:szCs w:val="21"/>
              </w:rPr>
            </w:pPr>
            <w:r>
              <w:rPr>
                <w:rFonts w:hint="eastAsia"/>
                <w:szCs w:val="21"/>
              </w:rPr>
              <w:t>在所有设备关闭的情况下加电，检查有无短路、断路现象。</w:t>
            </w:r>
          </w:p>
        </w:tc>
        <w:tc>
          <w:tcPr>
            <w:tcW w:w="1392" w:type="dxa"/>
          </w:tcPr>
          <w:p>
            <w:pPr>
              <w:adjustRightInd w:val="0"/>
              <w:snapToGrid w:val="0"/>
              <w:spacing w:line="276" w:lineRule="auto"/>
              <w:ind w:firstLine="420"/>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 w:type="dxa"/>
            <w:vAlign w:val="center"/>
          </w:tcPr>
          <w:p>
            <w:pPr>
              <w:adjustRightInd w:val="0"/>
              <w:snapToGrid w:val="0"/>
              <w:spacing w:line="276" w:lineRule="auto"/>
              <w:ind w:firstLine="420"/>
              <w:jc w:val="center"/>
              <w:rPr>
                <w:szCs w:val="21"/>
              </w:rPr>
            </w:pPr>
            <w:r>
              <w:rPr>
                <w:rFonts w:hint="eastAsia"/>
                <w:szCs w:val="21"/>
              </w:rPr>
              <w:t>5</w:t>
            </w:r>
          </w:p>
        </w:tc>
        <w:tc>
          <w:tcPr>
            <w:tcW w:w="6163" w:type="dxa"/>
          </w:tcPr>
          <w:p>
            <w:pPr>
              <w:adjustRightInd w:val="0"/>
              <w:snapToGrid w:val="0"/>
              <w:spacing w:line="276" w:lineRule="auto"/>
              <w:rPr>
                <w:szCs w:val="21"/>
              </w:rPr>
            </w:pPr>
            <w:r>
              <w:rPr>
                <w:rFonts w:hint="eastAsia"/>
                <w:szCs w:val="21"/>
              </w:rPr>
              <w:t>设备逐一加电，验证主备路，并注意观察设备的启动情况。</w:t>
            </w:r>
          </w:p>
        </w:tc>
        <w:tc>
          <w:tcPr>
            <w:tcW w:w="1392" w:type="dxa"/>
          </w:tcPr>
          <w:p>
            <w:pPr>
              <w:adjustRightInd w:val="0"/>
              <w:snapToGrid w:val="0"/>
              <w:spacing w:line="276" w:lineRule="auto"/>
              <w:ind w:firstLine="420"/>
              <w:rPr>
                <w:szCs w:val="21"/>
              </w:rPr>
            </w:pPr>
          </w:p>
        </w:tc>
      </w:tr>
    </w:tbl>
    <w:p>
      <w:pPr>
        <w:pStyle w:val="67"/>
        <w:ind w:firstLine="480"/>
      </w:pPr>
      <w:r>
        <w:rPr>
          <w:rFonts w:hint="eastAsia" w:cs="宋体"/>
          <w:sz w:val="24"/>
        </w:rPr>
        <w:t>★2.3</w:t>
      </w:r>
      <w:r>
        <w:rPr>
          <w:rFonts w:hint="eastAsia"/>
        </w:rPr>
        <w:t>设备辅材要求</w:t>
      </w:r>
    </w:p>
    <w:p>
      <w:pPr>
        <w:adjustRightInd w:val="0"/>
        <w:snapToGrid w:val="0"/>
        <w:spacing w:line="360" w:lineRule="auto"/>
        <w:ind w:firstLine="420"/>
        <w:rPr>
          <w:rFonts w:cs="Arial"/>
          <w:szCs w:val="21"/>
        </w:rPr>
      </w:pPr>
      <w:r>
        <w:rPr>
          <w:rFonts w:hint="eastAsia" w:cs="Arial"/>
          <w:szCs w:val="21"/>
        </w:rPr>
        <w:t>供应商须提供设备辅材包含但不限于：六类网线、水晶头、光纤、光衰耗器、电源线等。性能参数如下：</w:t>
      </w:r>
    </w:p>
    <w:p>
      <w:pPr>
        <w:pStyle w:val="38"/>
        <w:numPr>
          <w:ilvl w:val="0"/>
          <w:numId w:val="8"/>
        </w:numPr>
        <w:adjustRightInd w:val="0"/>
        <w:snapToGrid w:val="0"/>
        <w:spacing w:line="360" w:lineRule="auto"/>
        <w:ind w:firstLineChars="0"/>
        <w:rPr>
          <w:color w:val="000000"/>
          <w:szCs w:val="21"/>
        </w:rPr>
      </w:pPr>
      <w:r>
        <w:rPr>
          <w:rFonts w:hint="eastAsia"/>
          <w:color w:val="000000"/>
          <w:szCs w:val="21"/>
        </w:rPr>
        <w:t>六类网线</w:t>
      </w:r>
    </w:p>
    <w:p>
      <w:pPr>
        <w:pStyle w:val="38"/>
        <w:numPr>
          <w:ilvl w:val="0"/>
          <w:numId w:val="9"/>
        </w:numPr>
        <w:adjustRightInd w:val="0"/>
        <w:snapToGrid w:val="0"/>
        <w:spacing w:line="360" w:lineRule="auto"/>
        <w:ind w:firstLineChars="0"/>
        <w:jc w:val="left"/>
        <w:rPr>
          <w:color w:val="000000"/>
          <w:szCs w:val="21"/>
        </w:rPr>
      </w:pPr>
      <w:r>
        <w:rPr>
          <w:rFonts w:hint="eastAsia"/>
          <w:color w:val="000000"/>
          <w:szCs w:val="21"/>
        </w:rPr>
        <w:t>支持</w:t>
      </w:r>
      <w:r>
        <w:rPr>
          <w:color w:val="000000"/>
          <w:szCs w:val="21"/>
        </w:rPr>
        <w:t>1000Base-TX</w:t>
      </w:r>
      <w:r>
        <w:rPr>
          <w:rFonts w:hint="eastAsia"/>
          <w:color w:val="000000"/>
          <w:szCs w:val="21"/>
        </w:rPr>
        <w:t>标准，性能超过</w:t>
      </w:r>
      <w:r>
        <w:rPr>
          <w:color w:val="000000"/>
          <w:szCs w:val="21"/>
        </w:rPr>
        <w:t>TIA/EIA568B</w:t>
      </w:r>
      <w:r>
        <w:rPr>
          <w:rFonts w:hint="eastAsia"/>
          <w:color w:val="000000"/>
          <w:szCs w:val="21"/>
        </w:rPr>
        <w:t>，符合Y</w:t>
      </w:r>
      <w:r>
        <w:rPr>
          <w:color w:val="000000"/>
          <w:szCs w:val="21"/>
        </w:rPr>
        <w:t>D/T1019-2013</w:t>
      </w:r>
      <w:r>
        <w:rPr>
          <w:rFonts w:hint="eastAsia"/>
          <w:color w:val="000000"/>
          <w:szCs w:val="21"/>
        </w:rPr>
        <w:t>，I</w:t>
      </w:r>
      <w:r>
        <w:rPr>
          <w:color w:val="000000"/>
          <w:szCs w:val="21"/>
        </w:rPr>
        <w:t>SO/IEC11801</w:t>
      </w:r>
      <w:r>
        <w:rPr>
          <w:rFonts w:hint="eastAsia"/>
          <w:color w:val="000000"/>
          <w:szCs w:val="21"/>
        </w:rPr>
        <w:t>，E</w:t>
      </w:r>
      <w:r>
        <w:rPr>
          <w:color w:val="000000"/>
          <w:szCs w:val="21"/>
        </w:rPr>
        <w:t>IA/TIA</w:t>
      </w:r>
      <w:r>
        <w:rPr>
          <w:rFonts w:hint="eastAsia"/>
          <w:color w:val="000000"/>
          <w:szCs w:val="21"/>
        </w:rPr>
        <w:t>568</w:t>
      </w:r>
      <w:r>
        <w:rPr>
          <w:color w:val="000000"/>
          <w:szCs w:val="21"/>
        </w:rPr>
        <w:t>C.2</w:t>
      </w:r>
      <w:r>
        <w:rPr>
          <w:rFonts w:hint="eastAsia"/>
          <w:color w:val="000000"/>
          <w:szCs w:val="21"/>
        </w:rPr>
        <w:t>标准；</w:t>
      </w:r>
    </w:p>
    <w:p>
      <w:pPr>
        <w:pStyle w:val="38"/>
        <w:numPr>
          <w:ilvl w:val="0"/>
          <w:numId w:val="9"/>
        </w:numPr>
        <w:adjustRightInd w:val="0"/>
        <w:snapToGrid w:val="0"/>
        <w:spacing w:line="360" w:lineRule="auto"/>
        <w:ind w:firstLineChars="0"/>
        <w:rPr>
          <w:color w:val="000000"/>
          <w:szCs w:val="21"/>
        </w:rPr>
      </w:pPr>
      <w:r>
        <w:rPr>
          <w:rFonts w:hint="eastAsia"/>
          <w:color w:val="000000"/>
          <w:szCs w:val="21"/>
        </w:rPr>
        <w:t>阻抗：100ohms±15﹪，</w:t>
      </w:r>
      <w:r>
        <w:rPr>
          <w:color w:val="000000"/>
          <w:szCs w:val="21"/>
        </w:rPr>
        <w:t>1</w:t>
      </w:r>
      <w:r>
        <w:rPr>
          <w:rFonts w:hint="eastAsia"/>
          <w:color w:val="000000"/>
          <w:szCs w:val="21"/>
        </w:rPr>
        <w:t>- 600MHz；</w:t>
      </w:r>
    </w:p>
    <w:p>
      <w:pPr>
        <w:pStyle w:val="38"/>
        <w:numPr>
          <w:ilvl w:val="0"/>
          <w:numId w:val="9"/>
        </w:numPr>
        <w:adjustRightInd w:val="0"/>
        <w:snapToGrid w:val="0"/>
        <w:spacing w:line="360" w:lineRule="auto"/>
        <w:ind w:firstLineChars="0"/>
        <w:rPr>
          <w:color w:val="000000"/>
          <w:szCs w:val="21"/>
        </w:rPr>
      </w:pPr>
      <w:r>
        <w:rPr>
          <w:rFonts w:cs="Arial"/>
          <w:color w:val="333333"/>
          <w:szCs w:val="21"/>
          <w:shd w:val="clear" w:color="auto" w:fill="FFFFFF"/>
        </w:rPr>
        <w:t>传输延迟：</w:t>
      </w:r>
      <w:r>
        <w:rPr>
          <w:rFonts w:hint="eastAsia" w:cs="Arial"/>
          <w:color w:val="333333"/>
          <w:szCs w:val="21"/>
          <w:shd w:val="clear" w:color="auto" w:fill="FFFFFF"/>
        </w:rPr>
        <w:t>&lt;</w:t>
      </w:r>
      <w:r>
        <w:rPr>
          <w:rFonts w:cs="Arial"/>
          <w:color w:val="333333"/>
          <w:szCs w:val="21"/>
          <w:shd w:val="clear" w:color="auto" w:fill="FFFFFF"/>
        </w:rPr>
        <w:t>536ns/100m@250MHz</w:t>
      </w:r>
      <w:r>
        <w:rPr>
          <w:rFonts w:hint="eastAsia" w:cs="Arial"/>
          <w:color w:val="333333"/>
          <w:szCs w:val="21"/>
          <w:shd w:val="clear" w:color="auto" w:fill="FFFFFF"/>
        </w:rPr>
        <w:t>；</w:t>
      </w:r>
    </w:p>
    <w:p>
      <w:pPr>
        <w:pStyle w:val="38"/>
        <w:numPr>
          <w:ilvl w:val="0"/>
          <w:numId w:val="9"/>
        </w:numPr>
        <w:adjustRightInd w:val="0"/>
        <w:snapToGrid w:val="0"/>
        <w:spacing w:line="360" w:lineRule="auto"/>
        <w:ind w:firstLineChars="0"/>
        <w:rPr>
          <w:color w:val="000000"/>
          <w:szCs w:val="21"/>
        </w:rPr>
      </w:pPr>
      <w:r>
        <w:rPr>
          <w:rFonts w:cs="Arial"/>
          <w:color w:val="333333"/>
          <w:szCs w:val="21"/>
          <w:shd w:val="clear" w:color="auto" w:fill="FFFFFF"/>
        </w:rPr>
        <w:t>延迟偏移：</w:t>
      </w:r>
      <w:r>
        <w:rPr>
          <w:rFonts w:hint="eastAsia" w:cs="Arial"/>
          <w:color w:val="333333"/>
          <w:szCs w:val="21"/>
          <w:shd w:val="clear" w:color="auto" w:fill="FFFFFF"/>
        </w:rPr>
        <w:t>&lt;</w:t>
      </w:r>
      <w:r>
        <w:rPr>
          <w:rFonts w:cs="Arial"/>
          <w:color w:val="333333"/>
          <w:szCs w:val="21"/>
          <w:shd w:val="clear" w:color="auto" w:fill="FFFFFF"/>
        </w:rPr>
        <w:t>45ns</w:t>
      </w:r>
      <w:r>
        <w:rPr>
          <w:rFonts w:hint="eastAsia" w:cs="Arial"/>
          <w:color w:val="333333"/>
          <w:szCs w:val="21"/>
          <w:shd w:val="clear" w:color="auto" w:fill="FFFFFF"/>
        </w:rPr>
        <w:t>；</w:t>
      </w:r>
    </w:p>
    <w:p>
      <w:pPr>
        <w:pStyle w:val="38"/>
        <w:numPr>
          <w:ilvl w:val="0"/>
          <w:numId w:val="9"/>
        </w:numPr>
        <w:adjustRightInd w:val="0"/>
        <w:snapToGrid w:val="0"/>
        <w:spacing w:line="360" w:lineRule="auto"/>
        <w:ind w:firstLineChars="0"/>
        <w:rPr>
          <w:color w:val="000000"/>
          <w:szCs w:val="21"/>
        </w:rPr>
      </w:pPr>
      <w:r>
        <w:rPr>
          <w:rFonts w:cs="Arial"/>
          <w:color w:val="333333"/>
          <w:szCs w:val="21"/>
          <w:shd w:val="clear" w:color="auto" w:fill="FFFFFF"/>
        </w:rPr>
        <w:t>导体电阻：66.58 ohms max/km</w:t>
      </w:r>
      <w:r>
        <w:rPr>
          <w:rFonts w:hint="eastAsia" w:cs="Arial"/>
          <w:color w:val="333333"/>
          <w:szCs w:val="21"/>
          <w:shd w:val="clear" w:color="auto" w:fill="FFFFFF"/>
        </w:rPr>
        <w:t>；</w:t>
      </w:r>
    </w:p>
    <w:p>
      <w:pPr>
        <w:pStyle w:val="38"/>
        <w:numPr>
          <w:ilvl w:val="0"/>
          <w:numId w:val="9"/>
        </w:numPr>
        <w:adjustRightInd w:val="0"/>
        <w:snapToGrid w:val="0"/>
        <w:spacing w:line="360" w:lineRule="auto"/>
        <w:ind w:firstLineChars="0"/>
        <w:rPr>
          <w:color w:val="000000"/>
          <w:szCs w:val="21"/>
        </w:rPr>
      </w:pPr>
      <w:r>
        <w:rPr>
          <w:rFonts w:cs="Arial"/>
          <w:color w:val="333333"/>
          <w:szCs w:val="21"/>
          <w:shd w:val="clear" w:color="auto" w:fill="FFFFFF"/>
        </w:rPr>
        <w:t>直流电阻：≤7.55Ω</w:t>
      </w:r>
      <w:r>
        <w:rPr>
          <w:rFonts w:hint="eastAsia" w:cs="Arial"/>
          <w:color w:val="333333"/>
          <w:szCs w:val="21"/>
          <w:shd w:val="clear" w:color="auto" w:fill="FFFFFF"/>
        </w:rPr>
        <w:t>；</w:t>
      </w:r>
    </w:p>
    <w:p>
      <w:pPr>
        <w:pStyle w:val="38"/>
        <w:numPr>
          <w:ilvl w:val="0"/>
          <w:numId w:val="9"/>
        </w:numPr>
        <w:adjustRightInd w:val="0"/>
        <w:snapToGrid w:val="0"/>
        <w:spacing w:line="360" w:lineRule="auto"/>
        <w:ind w:firstLineChars="0"/>
        <w:rPr>
          <w:color w:val="000000"/>
          <w:szCs w:val="21"/>
        </w:rPr>
      </w:pPr>
      <w:r>
        <w:rPr>
          <w:rFonts w:cs="Arial"/>
          <w:color w:val="333333"/>
          <w:szCs w:val="21"/>
          <w:shd w:val="clear" w:color="auto" w:fill="FFFFFF"/>
        </w:rPr>
        <w:t>导线：</w:t>
      </w:r>
      <w:r>
        <w:rPr>
          <w:rFonts w:hint="eastAsia"/>
          <w:bCs/>
          <w:szCs w:val="21"/>
        </w:rPr>
        <w:t>实心裸铜导体；</w:t>
      </w:r>
    </w:p>
    <w:p>
      <w:pPr>
        <w:pStyle w:val="38"/>
        <w:numPr>
          <w:ilvl w:val="0"/>
          <w:numId w:val="9"/>
        </w:numPr>
        <w:adjustRightInd w:val="0"/>
        <w:snapToGrid w:val="0"/>
        <w:spacing w:line="360" w:lineRule="auto"/>
        <w:ind w:firstLineChars="0"/>
        <w:rPr>
          <w:color w:val="000000"/>
          <w:szCs w:val="21"/>
        </w:rPr>
      </w:pPr>
      <w:r>
        <w:rPr>
          <w:rFonts w:cs="Arial"/>
          <w:color w:val="333333"/>
          <w:szCs w:val="21"/>
          <w:shd w:val="clear" w:color="auto" w:fill="FFFFFF"/>
        </w:rPr>
        <w:t>外皮：FR PVC</w:t>
      </w:r>
      <w:r>
        <w:rPr>
          <w:rFonts w:hint="eastAsia" w:cs="Arial"/>
          <w:color w:val="333333"/>
          <w:szCs w:val="21"/>
          <w:shd w:val="clear" w:color="auto" w:fill="FFFFFF"/>
        </w:rPr>
        <w:t>；</w:t>
      </w:r>
    </w:p>
    <w:p>
      <w:pPr>
        <w:pStyle w:val="38"/>
        <w:numPr>
          <w:ilvl w:val="0"/>
          <w:numId w:val="9"/>
        </w:numPr>
        <w:adjustRightInd w:val="0"/>
        <w:snapToGrid w:val="0"/>
        <w:spacing w:line="360" w:lineRule="auto"/>
        <w:ind w:firstLineChars="0"/>
        <w:rPr>
          <w:color w:val="000000"/>
          <w:szCs w:val="21"/>
        </w:rPr>
      </w:pPr>
      <w:r>
        <w:rPr>
          <w:rFonts w:hint="eastAsia"/>
          <w:color w:val="000000"/>
          <w:szCs w:val="21"/>
        </w:rPr>
        <w:t>支持</w:t>
      </w:r>
      <w:r>
        <w:rPr>
          <w:color w:val="000000"/>
          <w:szCs w:val="21"/>
        </w:rPr>
        <w:t>1G</w:t>
      </w:r>
      <w:r>
        <w:rPr>
          <w:rFonts w:hint="eastAsia"/>
          <w:color w:val="000000"/>
          <w:szCs w:val="21"/>
        </w:rPr>
        <w:t>的传输速率；</w:t>
      </w:r>
    </w:p>
    <w:p>
      <w:pPr>
        <w:pStyle w:val="38"/>
        <w:numPr>
          <w:ilvl w:val="0"/>
          <w:numId w:val="9"/>
        </w:numPr>
        <w:adjustRightInd w:val="0"/>
        <w:snapToGrid w:val="0"/>
        <w:spacing w:line="360" w:lineRule="auto"/>
        <w:ind w:firstLineChars="0"/>
        <w:rPr>
          <w:color w:val="000000"/>
          <w:szCs w:val="21"/>
        </w:rPr>
      </w:pPr>
      <w:r>
        <w:rPr>
          <w:rFonts w:hint="eastAsia"/>
          <w:color w:val="000000"/>
          <w:szCs w:val="21"/>
        </w:rPr>
        <w:t>提供至少</w:t>
      </w:r>
      <w:r>
        <w:rPr>
          <w:color w:val="000000"/>
          <w:szCs w:val="21"/>
        </w:rPr>
        <w:t>三种可选颜色</w:t>
      </w:r>
      <w:r>
        <w:rPr>
          <w:rFonts w:hint="eastAsia"/>
          <w:color w:val="000000"/>
          <w:szCs w:val="21"/>
        </w:rPr>
        <w:t>；</w:t>
      </w:r>
    </w:p>
    <w:p>
      <w:pPr>
        <w:pStyle w:val="38"/>
        <w:numPr>
          <w:ilvl w:val="0"/>
          <w:numId w:val="9"/>
        </w:numPr>
        <w:adjustRightInd w:val="0"/>
        <w:snapToGrid w:val="0"/>
        <w:spacing w:line="360" w:lineRule="auto"/>
        <w:ind w:firstLineChars="0"/>
        <w:rPr>
          <w:color w:val="000000"/>
          <w:szCs w:val="21"/>
        </w:rPr>
      </w:pPr>
      <w:r>
        <w:rPr>
          <w:rFonts w:hint="eastAsia"/>
          <w:color w:val="000000"/>
          <w:szCs w:val="21"/>
        </w:rPr>
        <w:t>规格型号满足采购人要求；</w:t>
      </w:r>
    </w:p>
    <w:p>
      <w:pPr>
        <w:pStyle w:val="38"/>
        <w:numPr>
          <w:ilvl w:val="0"/>
          <w:numId w:val="9"/>
        </w:numPr>
        <w:adjustRightInd w:val="0"/>
        <w:snapToGrid w:val="0"/>
        <w:spacing w:line="360" w:lineRule="auto"/>
        <w:ind w:firstLineChars="0"/>
        <w:rPr>
          <w:color w:val="000000"/>
          <w:szCs w:val="21"/>
        </w:rPr>
      </w:pPr>
      <w:r>
        <w:rPr>
          <w:rFonts w:hint="eastAsia"/>
          <w:color w:val="000000"/>
          <w:szCs w:val="21"/>
        </w:rPr>
        <w:t>参考品牌康普/美国西蒙或同级六类网线品牌。供货时须提供本项目本批次产品原厂商签订的供销合同。</w:t>
      </w:r>
    </w:p>
    <w:p>
      <w:pPr>
        <w:pStyle w:val="38"/>
        <w:numPr>
          <w:ilvl w:val="0"/>
          <w:numId w:val="8"/>
        </w:numPr>
        <w:adjustRightInd w:val="0"/>
        <w:snapToGrid w:val="0"/>
        <w:spacing w:line="360" w:lineRule="auto"/>
        <w:ind w:firstLineChars="0"/>
        <w:rPr>
          <w:szCs w:val="21"/>
        </w:rPr>
      </w:pPr>
      <w:r>
        <w:rPr>
          <w:rFonts w:hint="eastAsia"/>
          <w:color w:val="000000"/>
          <w:szCs w:val="21"/>
        </w:rPr>
        <w:t>水晶</w:t>
      </w:r>
      <w:r>
        <w:rPr>
          <w:rFonts w:hint="eastAsia"/>
          <w:szCs w:val="21"/>
        </w:rPr>
        <w:t>头</w:t>
      </w:r>
    </w:p>
    <w:p>
      <w:pPr>
        <w:pStyle w:val="38"/>
        <w:numPr>
          <w:ilvl w:val="0"/>
          <w:numId w:val="10"/>
        </w:numPr>
        <w:adjustRightInd w:val="0"/>
        <w:snapToGrid w:val="0"/>
        <w:spacing w:line="360" w:lineRule="auto"/>
        <w:ind w:firstLineChars="0"/>
        <w:rPr>
          <w:color w:val="000000"/>
          <w:szCs w:val="21"/>
        </w:rPr>
      </w:pPr>
      <w:r>
        <w:rPr>
          <w:color w:val="333333"/>
          <w:szCs w:val="21"/>
          <w:shd w:val="clear" w:color="auto" w:fill="FFFFFF"/>
        </w:rPr>
        <w:t>导体类型</w:t>
      </w:r>
      <w:r>
        <w:rPr>
          <w:rFonts w:hint="eastAsia"/>
          <w:color w:val="333333"/>
          <w:szCs w:val="21"/>
          <w:shd w:val="clear" w:color="auto" w:fill="FFFFFF"/>
        </w:rPr>
        <w:t>：</w:t>
      </w:r>
      <w:r>
        <w:rPr>
          <w:color w:val="333333"/>
          <w:szCs w:val="21"/>
          <w:shd w:val="clear" w:color="auto" w:fill="FFFFFF"/>
        </w:rPr>
        <w:t>实芯/绞式</w:t>
      </w:r>
      <w:r>
        <w:rPr>
          <w:rFonts w:hint="eastAsia"/>
          <w:color w:val="333333"/>
          <w:szCs w:val="21"/>
          <w:shd w:val="clear" w:color="auto" w:fill="FFFFFF"/>
        </w:rPr>
        <w:t>；</w:t>
      </w:r>
    </w:p>
    <w:p>
      <w:pPr>
        <w:pStyle w:val="38"/>
        <w:numPr>
          <w:ilvl w:val="0"/>
          <w:numId w:val="10"/>
        </w:numPr>
        <w:adjustRightInd w:val="0"/>
        <w:snapToGrid w:val="0"/>
        <w:spacing w:line="360" w:lineRule="auto"/>
        <w:ind w:firstLineChars="0"/>
        <w:rPr>
          <w:color w:val="000000"/>
          <w:szCs w:val="21"/>
        </w:rPr>
      </w:pPr>
      <w:r>
        <w:rPr>
          <w:color w:val="333333"/>
          <w:szCs w:val="21"/>
          <w:shd w:val="clear" w:color="auto" w:fill="FFFFFF"/>
        </w:rPr>
        <w:t>针数</w:t>
      </w:r>
      <w:r>
        <w:rPr>
          <w:rFonts w:hint="eastAsia"/>
          <w:color w:val="333333"/>
          <w:szCs w:val="21"/>
          <w:shd w:val="clear" w:color="auto" w:fill="FFFFFF"/>
        </w:rPr>
        <w:t>：8；</w:t>
      </w:r>
    </w:p>
    <w:p>
      <w:pPr>
        <w:pStyle w:val="38"/>
        <w:numPr>
          <w:ilvl w:val="0"/>
          <w:numId w:val="10"/>
        </w:numPr>
        <w:adjustRightInd w:val="0"/>
        <w:snapToGrid w:val="0"/>
        <w:spacing w:line="360" w:lineRule="auto"/>
        <w:ind w:firstLineChars="0"/>
        <w:rPr>
          <w:color w:val="000000"/>
          <w:szCs w:val="21"/>
        </w:rPr>
      </w:pPr>
      <w:r>
        <w:rPr>
          <w:color w:val="333333"/>
          <w:szCs w:val="21"/>
          <w:shd w:val="clear" w:color="auto" w:fill="FFFFFF"/>
        </w:rPr>
        <w:t>触点基础材质</w:t>
      </w:r>
      <w:r>
        <w:rPr>
          <w:rFonts w:hint="eastAsia"/>
          <w:color w:val="333333"/>
          <w:szCs w:val="21"/>
          <w:shd w:val="clear" w:color="auto" w:fill="FFFFFF"/>
        </w:rPr>
        <w:t>：</w:t>
      </w:r>
      <w:r>
        <w:rPr>
          <w:color w:val="333333"/>
          <w:szCs w:val="21"/>
          <w:shd w:val="clear" w:color="auto" w:fill="FFFFFF"/>
        </w:rPr>
        <w:t>磷青铜</w:t>
      </w:r>
      <w:r>
        <w:rPr>
          <w:rFonts w:hint="eastAsia"/>
          <w:color w:val="333333"/>
          <w:szCs w:val="21"/>
          <w:shd w:val="clear" w:color="auto" w:fill="FFFFFF"/>
        </w:rPr>
        <w:t>；</w:t>
      </w:r>
    </w:p>
    <w:p>
      <w:pPr>
        <w:pStyle w:val="38"/>
        <w:numPr>
          <w:ilvl w:val="0"/>
          <w:numId w:val="10"/>
        </w:numPr>
        <w:adjustRightInd w:val="0"/>
        <w:snapToGrid w:val="0"/>
        <w:spacing w:line="360" w:lineRule="auto"/>
        <w:ind w:firstLineChars="0"/>
        <w:rPr>
          <w:rStyle w:val="42"/>
          <w:color w:val="000000"/>
          <w:szCs w:val="21"/>
        </w:rPr>
      </w:pPr>
      <w:r>
        <w:rPr>
          <w:color w:val="333333"/>
          <w:szCs w:val="21"/>
          <w:shd w:val="clear" w:color="auto" w:fill="FFFFFF"/>
        </w:rPr>
        <w:t>触点啮合区域镀层材质</w:t>
      </w:r>
      <w:r>
        <w:rPr>
          <w:rStyle w:val="42"/>
          <w:rFonts w:hint="eastAsia"/>
          <w:szCs w:val="21"/>
        </w:rPr>
        <w:t>：金；</w:t>
      </w:r>
    </w:p>
    <w:p>
      <w:pPr>
        <w:pStyle w:val="38"/>
        <w:numPr>
          <w:ilvl w:val="0"/>
          <w:numId w:val="10"/>
        </w:numPr>
        <w:adjustRightInd w:val="0"/>
        <w:snapToGrid w:val="0"/>
        <w:spacing w:line="360" w:lineRule="auto"/>
        <w:ind w:firstLineChars="0"/>
        <w:rPr>
          <w:color w:val="000000"/>
          <w:szCs w:val="21"/>
        </w:rPr>
      </w:pPr>
      <w:r>
        <w:rPr>
          <w:color w:val="333333"/>
          <w:szCs w:val="21"/>
          <w:shd w:val="clear" w:color="auto" w:fill="FFFFFF"/>
        </w:rPr>
        <w:t>触点啮合区域镀层厚度</w:t>
      </w:r>
      <w:r>
        <w:rPr>
          <w:rStyle w:val="42"/>
          <w:rFonts w:hint="eastAsia"/>
          <w:color w:val="333333"/>
          <w:szCs w:val="21"/>
          <w:shd w:val="clear" w:color="auto" w:fill="FFFFFF"/>
        </w:rPr>
        <w:t>：</w:t>
      </w:r>
      <w:r>
        <w:rPr>
          <w:color w:val="333333"/>
          <w:szCs w:val="21"/>
          <w:shd w:val="clear" w:color="auto" w:fill="FFFFFF"/>
        </w:rPr>
        <w:t>50.00 µin|1.27 µm</w:t>
      </w:r>
      <w:r>
        <w:rPr>
          <w:rFonts w:hint="eastAsia"/>
          <w:color w:val="333333"/>
          <w:szCs w:val="21"/>
          <w:shd w:val="clear" w:color="auto" w:fill="FFFFFF"/>
        </w:rPr>
        <w:t>；</w:t>
      </w:r>
    </w:p>
    <w:p>
      <w:pPr>
        <w:pStyle w:val="38"/>
        <w:numPr>
          <w:ilvl w:val="0"/>
          <w:numId w:val="10"/>
        </w:numPr>
        <w:adjustRightInd w:val="0"/>
        <w:snapToGrid w:val="0"/>
        <w:spacing w:line="360" w:lineRule="auto"/>
        <w:ind w:firstLineChars="0"/>
        <w:rPr>
          <w:color w:val="000000"/>
          <w:szCs w:val="21"/>
        </w:rPr>
      </w:pPr>
      <w:r>
        <w:rPr>
          <w:color w:val="333333"/>
          <w:szCs w:val="21"/>
          <w:shd w:val="clear" w:color="auto" w:fill="FFFFFF"/>
        </w:rPr>
        <w:t>加载触点数</w:t>
      </w:r>
      <w:r>
        <w:rPr>
          <w:rFonts w:hint="eastAsia"/>
          <w:color w:val="333333"/>
          <w:szCs w:val="21"/>
          <w:shd w:val="clear" w:color="auto" w:fill="FFFFFF"/>
        </w:rPr>
        <w:t>：</w:t>
      </w:r>
      <w:r>
        <w:rPr>
          <w:color w:val="333333"/>
          <w:szCs w:val="21"/>
          <w:shd w:val="clear" w:color="auto" w:fill="FFFFFF"/>
        </w:rPr>
        <w:t>8</w:t>
      </w:r>
      <w:r>
        <w:rPr>
          <w:rFonts w:hint="eastAsia"/>
          <w:color w:val="333333"/>
          <w:szCs w:val="21"/>
          <w:shd w:val="clear" w:color="auto" w:fill="FFFFFF"/>
        </w:rPr>
        <w:t>；</w:t>
      </w:r>
    </w:p>
    <w:p>
      <w:pPr>
        <w:pStyle w:val="38"/>
        <w:numPr>
          <w:ilvl w:val="0"/>
          <w:numId w:val="10"/>
        </w:numPr>
        <w:adjustRightInd w:val="0"/>
        <w:snapToGrid w:val="0"/>
        <w:spacing w:line="360" w:lineRule="auto"/>
        <w:ind w:firstLineChars="0"/>
        <w:rPr>
          <w:color w:val="000000"/>
          <w:szCs w:val="21"/>
        </w:rPr>
      </w:pPr>
      <w:r>
        <w:rPr>
          <w:color w:val="333333"/>
          <w:szCs w:val="21"/>
          <w:shd w:val="clear" w:color="auto" w:fill="FFFFFF"/>
        </w:rPr>
        <w:t>外壳材质</w:t>
      </w:r>
      <w:r>
        <w:rPr>
          <w:rFonts w:hint="eastAsia"/>
          <w:color w:val="333333"/>
          <w:szCs w:val="21"/>
          <w:shd w:val="clear" w:color="auto" w:fill="FFFFFF"/>
        </w:rPr>
        <w:t>：</w:t>
      </w:r>
      <w:r>
        <w:rPr>
          <w:color w:val="333333"/>
          <w:szCs w:val="21"/>
          <w:shd w:val="clear" w:color="auto" w:fill="FFFFFF"/>
        </w:rPr>
        <w:t>玻璃填充聚碳酸酯</w:t>
      </w:r>
      <w:r>
        <w:rPr>
          <w:rFonts w:hint="eastAsia"/>
          <w:color w:val="333333"/>
          <w:szCs w:val="21"/>
          <w:shd w:val="clear" w:color="auto" w:fill="FFFFFF"/>
        </w:rPr>
        <w:t>；</w:t>
      </w:r>
    </w:p>
    <w:p>
      <w:pPr>
        <w:pStyle w:val="38"/>
        <w:numPr>
          <w:ilvl w:val="0"/>
          <w:numId w:val="10"/>
        </w:numPr>
        <w:adjustRightInd w:val="0"/>
        <w:snapToGrid w:val="0"/>
        <w:spacing w:line="360" w:lineRule="auto"/>
        <w:ind w:firstLineChars="0"/>
        <w:rPr>
          <w:color w:val="000000"/>
          <w:szCs w:val="21"/>
        </w:rPr>
      </w:pPr>
      <w:r>
        <w:rPr>
          <w:color w:val="333333"/>
          <w:szCs w:val="21"/>
          <w:shd w:val="clear" w:color="auto" w:fill="FFFFFF"/>
        </w:rPr>
        <w:t>线缆/电缆端接方式</w:t>
      </w:r>
      <w:r>
        <w:rPr>
          <w:rFonts w:hint="eastAsia"/>
          <w:color w:val="333333"/>
          <w:szCs w:val="21"/>
          <w:shd w:val="clear" w:color="auto" w:fill="FFFFFF"/>
        </w:rPr>
        <w:t>：</w:t>
      </w:r>
      <w:r>
        <w:rPr>
          <w:color w:val="333333"/>
          <w:szCs w:val="21"/>
          <w:shd w:val="clear" w:color="auto" w:fill="FFFFFF"/>
        </w:rPr>
        <w:t>绝缘置换压接（IDC）</w:t>
      </w:r>
      <w:r>
        <w:rPr>
          <w:rFonts w:hint="eastAsia"/>
          <w:color w:val="333333"/>
          <w:szCs w:val="21"/>
          <w:shd w:val="clear" w:color="auto" w:fill="FFFFFF"/>
        </w:rPr>
        <w:t>；</w:t>
      </w:r>
    </w:p>
    <w:p>
      <w:pPr>
        <w:pStyle w:val="38"/>
        <w:numPr>
          <w:ilvl w:val="0"/>
          <w:numId w:val="10"/>
        </w:numPr>
        <w:adjustRightInd w:val="0"/>
        <w:snapToGrid w:val="0"/>
        <w:spacing w:line="360" w:lineRule="auto"/>
        <w:ind w:firstLineChars="0"/>
        <w:rPr>
          <w:color w:val="000000"/>
          <w:szCs w:val="21"/>
        </w:rPr>
      </w:pPr>
      <w:r>
        <w:rPr>
          <w:rFonts w:hint="eastAsia"/>
          <w:color w:val="000000"/>
          <w:szCs w:val="21"/>
        </w:rPr>
        <w:t>规格型号满足采购人要求；</w:t>
      </w:r>
    </w:p>
    <w:p>
      <w:pPr>
        <w:pStyle w:val="38"/>
        <w:numPr>
          <w:ilvl w:val="0"/>
          <w:numId w:val="10"/>
        </w:numPr>
        <w:adjustRightInd w:val="0"/>
        <w:snapToGrid w:val="0"/>
        <w:spacing w:line="360" w:lineRule="auto"/>
        <w:ind w:firstLineChars="0"/>
        <w:rPr>
          <w:color w:val="000000"/>
          <w:szCs w:val="21"/>
        </w:rPr>
      </w:pPr>
      <w:r>
        <w:rPr>
          <w:rFonts w:hint="eastAsia"/>
          <w:color w:val="000000"/>
          <w:szCs w:val="21"/>
        </w:rPr>
        <w:t>参考品牌康普/美国西蒙或同级品牌。供货时须提供本项目本批次产品原厂商签订的供销合同。</w:t>
      </w:r>
    </w:p>
    <w:p>
      <w:pPr>
        <w:pStyle w:val="38"/>
        <w:numPr>
          <w:ilvl w:val="0"/>
          <w:numId w:val="8"/>
        </w:numPr>
        <w:adjustRightInd w:val="0"/>
        <w:snapToGrid w:val="0"/>
        <w:spacing w:line="360" w:lineRule="auto"/>
        <w:ind w:firstLineChars="0"/>
        <w:rPr>
          <w:szCs w:val="21"/>
        </w:rPr>
      </w:pPr>
      <w:r>
        <w:rPr>
          <w:rFonts w:hint="eastAsia"/>
          <w:szCs w:val="21"/>
        </w:rPr>
        <w:t>光纤</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外观：平滑、洁净、无油污、无伤痕和裂纹，零件组合平正，插头与转接器的接合平顺，易于插拨；</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插入损耗≤</w:t>
      </w:r>
      <w:r>
        <w:rPr>
          <w:color w:val="000000"/>
          <w:szCs w:val="21"/>
        </w:rPr>
        <w:t>0.3dB</w:t>
      </w:r>
      <w:r>
        <w:rPr>
          <w:rFonts w:hint="eastAsia"/>
          <w:color w:val="000000"/>
          <w:szCs w:val="21"/>
        </w:rPr>
        <w:t>，回波损耗≥</w:t>
      </w:r>
      <w:r>
        <w:rPr>
          <w:color w:val="000000"/>
          <w:szCs w:val="21"/>
        </w:rPr>
        <w:t>50dB</w:t>
      </w:r>
      <w:r>
        <w:rPr>
          <w:rFonts w:hint="eastAsia"/>
          <w:color w:val="000000"/>
          <w:szCs w:val="21"/>
        </w:rPr>
        <w:t>；</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插拔次数＞</w:t>
      </w:r>
      <w:r>
        <w:rPr>
          <w:color w:val="000000"/>
          <w:szCs w:val="21"/>
        </w:rPr>
        <w:t>1000</w:t>
      </w:r>
      <w:r>
        <w:rPr>
          <w:rFonts w:hint="eastAsia"/>
          <w:color w:val="000000"/>
          <w:szCs w:val="21"/>
        </w:rPr>
        <w:t>次；</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抗拉力强，重复性好，稳定性高；</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支持</w:t>
      </w:r>
      <w:r>
        <w:rPr>
          <w:szCs w:val="21"/>
        </w:rPr>
        <w:t>SC/PC-SC/PC</w:t>
      </w:r>
      <w:r>
        <w:rPr>
          <w:rFonts w:hint="eastAsia"/>
          <w:szCs w:val="21"/>
        </w:rPr>
        <w:t>、SC/PC-LC/PC、LC/PC-LC/PC等各类型接头；</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无损伤的机械互换性，保证插头和适配器之间精确互接；</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光跳线满足</w:t>
      </w:r>
      <w:r>
        <w:rPr>
          <w:color w:val="000000"/>
          <w:szCs w:val="21"/>
        </w:rPr>
        <w:t xml:space="preserve"> ITU-T G.657A2</w:t>
      </w:r>
      <w:r>
        <w:rPr>
          <w:rFonts w:hint="eastAsia"/>
          <w:color w:val="000000"/>
          <w:szCs w:val="21"/>
        </w:rPr>
        <w:t>弯曲不敏感单模光纤和光缆特性的标准建议；多模光跳线满足</w:t>
      </w:r>
      <w:r>
        <w:rPr>
          <w:color w:val="000000"/>
          <w:szCs w:val="21"/>
        </w:rPr>
        <w:t xml:space="preserve"> ITU-T G.651A1a/A1b</w:t>
      </w:r>
      <w:r>
        <w:rPr>
          <w:rFonts w:hint="eastAsia"/>
          <w:color w:val="000000"/>
          <w:szCs w:val="21"/>
        </w:rPr>
        <w:t>的标准建议；</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光纤参考型号：</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单模</w:t>
      </w:r>
      <w:r>
        <w:rPr>
          <w:rFonts w:cs="Calibri"/>
          <w:color w:val="000000"/>
          <w:szCs w:val="21"/>
        </w:rPr>
        <w:t>-10m-G.657A2-2mm-42mm LC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单模</w:t>
      </w:r>
      <w:r>
        <w:rPr>
          <w:rFonts w:cs="Calibri"/>
          <w:color w:val="000000"/>
          <w:szCs w:val="21"/>
        </w:rPr>
        <w:t>-1.5m-G.657A2-2mm-42mm LC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单模</w:t>
      </w:r>
      <w:r>
        <w:rPr>
          <w:rFonts w:cs="Calibri"/>
          <w:color w:val="000000"/>
          <w:szCs w:val="21"/>
        </w:rPr>
        <w:t>-3m-G.657A2-2mm-42mm LC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单模</w:t>
      </w:r>
      <w:r>
        <w:rPr>
          <w:rFonts w:cs="Calibri"/>
          <w:color w:val="000000"/>
          <w:szCs w:val="21"/>
        </w:rPr>
        <w:t>-10m-G.657A2-2mm-42mm LC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单模</w:t>
      </w:r>
      <w:r>
        <w:rPr>
          <w:rFonts w:cs="Calibri"/>
          <w:color w:val="000000"/>
          <w:szCs w:val="21"/>
        </w:rPr>
        <w:t>-15m-G.657A2-2mm-42mm LC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-LC/UPC-FC/UPC-</w:t>
      </w:r>
      <w:r>
        <w:rPr>
          <w:rFonts w:hint="eastAsia" w:cs="Calibri"/>
          <w:color w:val="000000"/>
          <w:szCs w:val="21"/>
        </w:rPr>
        <w:t>单模</w:t>
      </w:r>
      <w:r>
        <w:rPr>
          <w:rFonts w:cs="Calibri"/>
          <w:color w:val="000000"/>
          <w:szCs w:val="21"/>
        </w:rPr>
        <w:t>-30m-G.657A2-2mm-42mm LC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-LC/UPC-SC/UPC-</w:t>
      </w:r>
      <w:r>
        <w:rPr>
          <w:rFonts w:hint="eastAsia" w:cs="Calibri"/>
          <w:color w:val="000000"/>
          <w:szCs w:val="21"/>
        </w:rPr>
        <w:t>单模</w:t>
      </w:r>
      <w:r>
        <w:rPr>
          <w:rFonts w:cs="Calibri"/>
          <w:color w:val="000000"/>
          <w:szCs w:val="21"/>
        </w:rPr>
        <w:t>-20m-G.657A2-2mm-42mm LC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多模</w:t>
      </w:r>
      <w:r>
        <w:rPr>
          <w:rFonts w:cs="Calibri"/>
          <w:color w:val="000000"/>
          <w:szCs w:val="21"/>
        </w:rPr>
        <w:t>-1.5m-G.651A1b-PVC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多模</w:t>
      </w:r>
      <w:r>
        <w:rPr>
          <w:rFonts w:cs="Calibri"/>
          <w:color w:val="000000"/>
          <w:szCs w:val="21"/>
        </w:rPr>
        <w:t>-3m-G.651A1b-PVC</w:t>
      </w:r>
    </w:p>
    <w:p>
      <w:pPr>
        <w:pStyle w:val="38"/>
        <w:widowControl/>
        <w:shd w:val="clear" w:color="auto" w:fill="FFFFFF"/>
        <w:adjustRightInd w:val="0"/>
        <w:snapToGrid w:val="0"/>
        <w:spacing w:line="360" w:lineRule="auto"/>
        <w:ind w:left="840"/>
        <w:rPr>
          <w:rFonts w:cs="Calibri"/>
          <w:color w:val="000000"/>
          <w:szCs w:val="21"/>
        </w:rPr>
      </w:pPr>
      <w:r>
        <w:rPr>
          <w:rFonts w:hint="eastAsia" w:cs="Calibri"/>
          <w:color w:val="000000"/>
          <w:szCs w:val="21"/>
        </w:rPr>
        <w:t>光跳线</w:t>
      </w:r>
      <w:r>
        <w:rPr>
          <w:rFonts w:cs="Calibri"/>
          <w:color w:val="000000"/>
          <w:szCs w:val="21"/>
        </w:rPr>
        <w:t>-LC/UPC-LC/UPC-</w:t>
      </w:r>
      <w:r>
        <w:rPr>
          <w:rFonts w:hint="eastAsia" w:cs="Calibri"/>
          <w:color w:val="000000"/>
          <w:szCs w:val="21"/>
        </w:rPr>
        <w:t>多模</w:t>
      </w:r>
      <w:r>
        <w:rPr>
          <w:rFonts w:cs="Calibri"/>
          <w:color w:val="000000"/>
          <w:szCs w:val="21"/>
        </w:rPr>
        <w:t>-10m-G.651A1b-PVC</w:t>
      </w:r>
    </w:p>
    <w:p>
      <w:pPr>
        <w:pStyle w:val="38"/>
        <w:numPr>
          <w:ilvl w:val="0"/>
          <w:numId w:val="11"/>
        </w:numPr>
        <w:adjustRightInd w:val="0"/>
        <w:snapToGrid w:val="0"/>
        <w:spacing w:line="360" w:lineRule="auto"/>
        <w:ind w:firstLineChars="0"/>
        <w:rPr>
          <w:color w:val="000000"/>
          <w:szCs w:val="21"/>
        </w:rPr>
      </w:pPr>
      <w:r>
        <w:rPr>
          <w:rFonts w:hint="eastAsia"/>
          <w:color w:val="000000"/>
          <w:szCs w:val="21"/>
        </w:rPr>
        <w:t>参考品牌中航光电</w:t>
      </w:r>
      <w:r>
        <w:rPr>
          <w:color w:val="000000"/>
          <w:szCs w:val="21"/>
        </w:rPr>
        <w:t>/</w:t>
      </w:r>
      <w:r>
        <w:rPr>
          <w:rFonts w:hint="eastAsia"/>
          <w:color w:val="000000"/>
          <w:szCs w:val="21"/>
        </w:rPr>
        <w:t>华脉/普天或同级品牌。供货时须提供本项目本批次产品原厂商签订的供销合同。提供单纤测试报告。</w:t>
      </w:r>
    </w:p>
    <w:p>
      <w:pPr>
        <w:pStyle w:val="38"/>
        <w:numPr>
          <w:ilvl w:val="0"/>
          <w:numId w:val="8"/>
        </w:numPr>
        <w:adjustRightInd w:val="0"/>
        <w:snapToGrid w:val="0"/>
        <w:spacing w:line="360" w:lineRule="auto"/>
        <w:ind w:firstLineChars="0"/>
        <w:rPr>
          <w:szCs w:val="21"/>
        </w:rPr>
      </w:pPr>
      <w:r>
        <w:rPr>
          <w:rFonts w:hint="eastAsia"/>
          <w:szCs w:val="21"/>
        </w:rPr>
        <w:t>光衰耗器</w:t>
      </w:r>
    </w:p>
    <w:p>
      <w:pPr>
        <w:pStyle w:val="38"/>
        <w:numPr>
          <w:ilvl w:val="0"/>
          <w:numId w:val="12"/>
        </w:numPr>
        <w:adjustRightInd w:val="0"/>
        <w:snapToGrid w:val="0"/>
        <w:spacing w:line="360" w:lineRule="auto"/>
        <w:ind w:firstLineChars="0"/>
        <w:rPr>
          <w:color w:val="000000"/>
          <w:szCs w:val="21"/>
        </w:rPr>
      </w:pPr>
      <w:r>
        <w:rPr>
          <w:rFonts w:hint="eastAsia"/>
          <w:color w:val="000000"/>
          <w:szCs w:val="21"/>
        </w:rPr>
        <w:t>型号满足</w:t>
      </w:r>
      <w:r>
        <w:rPr>
          <w:color w:val="000000"/>
          <w:szCs w:val="21"/>
        </w:rPr>
        <w:t>3DB/5DB/7DB/10DB//15DB</w:t>
      </w:r>
      <w:r>
        <w:rPr>
          <w:rFonts w:hint="eastAsia"/>
          <w:color w:val="000000"/>
          <w:szCs w:val="21"/>
        </w:rPr>
        <w:t>要求。</w:t>
      </w:r>
    </w:p>
    <w:p>
      <w:pPr>
        <w:pStyle w:val="38"/>
        <w:numPr>
          <w:ilvl w:val="0"/>
          <w:numId w:val="8"/>
        </w:numPr>
        <w:adjustRightInd w:val="0"/>
        <w:snapToGrid w:val="0"/>
        <w:spacing w:line="360" w:lineRule="auto"/>
        <w:ind w:firstLineChars="0"/>
        <w:rPr>
          <w:szCs w:val="21"/>
        </w:rPr>
      </w:pPr>
      <w:r>
        <w:rPr>
          <w:rFonts w:hint="eastAsia"/>
          <w:szCs w:val="21"/>
        </w:rPr>
        <w:t>电源线</w:t>
      </w:r>
    </w:p>
    <w:p>
      <w:pPr>
        <w:pStyle w:val="38"/>
        <w:numPr>
          <w:ilvl w:val="0"/>
          <w:numId w:val="13"/>
        </w:numPr>
        <w:adjustRightInd w:val="0"/>
        <w:snapToGrid w:val="0"/>
        <w:spacing w:line="360" w:lineRule="auto"/>
        <w:ind w:firstLineChars="0"/>
        <w:rPr>
          <w:color w:val="000000"/>
          <w:szCs w:val="21"/>
        </w:rPr>
      </w:pPr>
      <w:r>
        <w:rPr>
          <w:rFonts w:hint="eastAsia"/>
          <w:color w:val="000000"/>
          <w:szCs w:val="21"/>
        </w:rPr>
        <w:t>电源线导电线芯性能及外观符合</w:t>
      </w:r>
      <w:r>
        <w:rPr>
          <w:color w:val="000000"/>
          <w:szCs w:val="21"/>
        </w:rPr>
        <w:t>GB/T5023-2008</w:t>
      </w:r>
      <w:r>
        <w:rPr>
          <w:rFonts w:hint="eastAsia"/>
          <w:color w:val="000000"/>
          <w:szCs w:val="21"/>
        </w:rPr>
        <w:t>或国际电工委员会IEC</w:t>
      </w:r>
      <w:r>
        <w:rPr>
          <w:color w:val="000000"/>
          <w:szCs w:val="21"/>
        </w:rPr>
        <w:t>60227 IEC 02(RV)</w:t>
      </w:r>
      <w:r>
        <w:rPr>
          <w:rFonts w:hint="eastAsia"/>
          <w:color w:val="000000"/>
          <w:szCs w:val="21"/>
        </w:rPr>
        <w:t>标准的指标要求，产品获得C</w:t>
      </w:r>
      <w:r>
        <w:rPr>
          <w:color w:val="000000"/>
          <w:szCs w:val="21"/>
        </w:rPr>
        <w:t>CC</w:t>
      </w:r>
      <w:r>
        <w:rPr>
          <w:rFonts w:hint="eastAsia"/>
          <w:color w:val="000000"/>
          <w:szCs w:val="21"/>
        </w:rPr>
        <w:t>和C</w:t>
      </w:r>
      <w:r>
        <w:rPr>
          <w:color w:val="000000"/>
          <w:szCs w:val="21"/>
        </w:rPr>
        <w:t>E</w:t>
      </w:r>
      <w:r>
        <w:rPr>
          <w:rFonts w:hint="eastAsia"/>
          <w:color w:val="000000"/>
          <w:szCs w:val="21"/>
        </w:rPr>
        <w:t>认证标志。</w:t>
      </w:r>
    </w:p>
    <w:p>
      <w:pPr>
        <w:pStyle w:val="38"/>
        <w:numPr>
          <w:ilvl w:val="0"/>
          <w:numId w:val="13"/>
        </w:numPr>
        <w:adjustRightInd w:val="0"/>
        <w:snapToGrid w:val="0"/>
        <w:spacing w:line="360" w:lineRule="auto"/>
        <w:ind w:firstLineChars="0"/>
        <w:rPr>
          <w:color w:val="000000"/>
          <w:szCs w:val="21"/>
        </w:rPr>
      </w:pPr>
      <w:r>
        <w:rPr>
          <w:rFonts w:hint="eastAsia"/>
          <w:color w:val="000000"/>
          <w:szCs w:val="21"/>
        </w:rPr>
        <w:t>参考品牌中利</w:t>
      </w:r>
      <w:r>
        <w:rPr>
          <w:color w:val="000000"/>
          <w:szCs w:val="21"/>
        </w:rPr>
        <w:t>/</w:t>
      </w:r>
      <w:r>
        <w:rPr>
          <w:rFonts w:hint="eastAsia"/>
          <w:color w:val="000000"/>
          <w:szCs w:val="21"/>
        </w:rPr>
        <w:t>远东</w:t>
      </w:r>
      <w:r>
        <w:rPr>
          <w:color w:val="000000"/>
          <w:szCs w:val="21"/>
        </w:rPr>
        <w:t>/</w:t>
      </w:r>
      <w:r>
        <w:rPr>
          <w:rFonts w:hint="eastAsia"/>
          <w:color w:val="000000"/>
          <w:szCs w:val="21"/>
        </w:rPr>
        <w:t>正泰</w:t>
      </w:r>
      <w:r>
        <w:rPr>
          <w:color w:val="000000"/>
          <w:szCs w:val="21"/>
        </w:rPr>
        <w:t>/</w:t>
      </w:r>
      <w:r>
        <w:rPr>
          <w:rFonts w:hint="eastAsia"/>
          <w:color w:val="000000"/>
          <w:szCs w:val="21"/>
        </w:rPr>
        <w:t>或同级品牌。</w:t>
      </w:r>
    </w:p>
    <w:p>
      <w:pPr>
        <w:adjustRightInd w:val="0"/>
        <w:snapToGrid w:val="0"/>
        <w:spacing w:line="360" w:lineRule="auto"/>
        <w:ind w:firstLine="420"/>
        <w:rPr>
          <w:color w:val="000000"/>
          <w:szCs w:val="21"/>
        </w:rPr>
      </w:pPr>
    </w:p>
    <w:p>
      <w:pPr>
        <w:pStyle w:val="67"/>
        <w:ind w:firstLine="440"/>
        <w:rPr>
          <w:b/>
          <w:bCs/>
        </w:rPr>
      </w:pPr>
      <w:r>
        <w:rPr>
          <w:rFonts w:hint="eastAsia"/>
        </w:rPr>
        <w:t>三、施工界面与内容</w:t>
      </w:r>
    </w:p>
    <w:p>
      <w:pPr>
        <w:pStyle w:val="67"/>
        <w:ind w:firstLine="440"/>
      </w:pPr>
      <w:r>
        <w:rPr>
          <w:rFonts w:hint="eastAsia"/>
        </w:rPr>
        <w:t>3.1施工分界</w:t>
      </w:r>
    </w:p>
    <w:p>
      <w:pPr>
        <w:pStyle w:val="55"/>
        <w:adjustRightInd w:val="0"/>
        <w:snapToGrid w:val="0"/>
        <w:spacing w:line="360" w:lineRule="auto"/>
        <w:ind w:left="426"/>
        <w:rPr>
          <w:color w:val="000000"/>
          <w:szCs w:val="21"/>
        </w:rPr>
      </w:pPr>
      <w:r>
        <w:rPr>
          <w:rFonts w:hint="eastAsia"/>
          <w:color w:val="000000"/>
          <w:szCs w:val="21"/>
        </w:rPr>
        <w:t>供应商负责完成：现机房所有业务梳理、涉及设备断电、拆除；设备由老机房至新机房上下楼、运输；新机房设备上架、安装、布线、布纤（至出局和客户侧ODF）、集成、调试，设备加电正常工作直至业务恢复正常。供应商负责完成搬迁设备在新机房安装所需的网线、线扎、铜鼻子等所有辅材，满足《项目总体要求》和《技术规范与施工工艺要求》。</w:t>
      </w:r>
    </w:p>
    <w:p>
      <w:pPr>
        <w:adjustRightInd w:val="0"/>
        <w:snapToGrid w:val="0"/>
        <w:spacing w:line="360" w:lineRule="auto"/>
        <w:ind w:left="424" w:leftChars="202" w:firstLine="420"/>
        <w:rPr>
          <w:color w:val="000000"/>
          <w:szCs w:val="21"/>
        </w:rPr>
      </w:pPr>
      <w:r>
        <w:rPr>
          <w:rFonts w:hint="eastAsia"/>
          <w:color w:val="000000"/>
          <w:szCs w:val="21"/>
        </w:rPr>
        <w:t>系统改造所涉及系统的数据备份、网管调测等由供应商完成。</w:t>
      </w:r>
    </w:p>
    <w:p>
      <w:pPr>
        <w:pStyle w:val="55"/>
        <w:adjustRightInd w:val="0"/>
        <w:snapToGrid w:val="0"/>
        <w:spacing w:line="360" w:lineRule="auto"/>
        <w:ind w:left="426"/>
        <w:rPr>
          <w:szCs w:val="21"/>
        </w:rPr>
      </w:pPr>
      <w:r>
        <w:rPr>
          <w:rFonts w:hint="eastAsia"/>
          <w:color w:val="000000"/>
          <w:szCs w:val="21"/>
        </w:rPr>
        <w:t>采购人负责系统运行状态确认、信号确认、上线，业务监测、项目验收等工作。</w:t>
      </w:r>
    </w:p>
    <w:p>
      <w:pPr>
        <w:pStyle w:val="67"/>
        <w:ind w:firstLine="440"/>
      </w:pPr>
      <w:r>
        <w:rPr>
          <w:rFonts w:hint="eastAsia" w:cs="宋体"/>
        </w:rPr>
        <w:t>★3.2</w:t>
      </w:r>
      <w:r>
        <w:rPr>
          <w:rFonts w:hint="eastAsia"/>
          <w:kern w:val="0"/>
          <w:sz w:val="28"/>
        </w:rPr>
        <w:t>施工范围</w:t>
      </w:r>
    </w:p>
    <w:p>
      <w:pPr>
        <w:pStyle w:val="13"/>
        <w:spacing w:line="360" w:lineRule="auto"/>
        <w:ind w:firstLine="420"/>
        <w:rPr>
          <w:szCs w:val="21"/>
        </w:rPr>
      </w:pPr>
      <w:r>
        <w:rPr>
          <w:rFonts w:hint="eastAsia"/>
          <w:szCs w:val="21"/>
        </w:rPr>
        <w:t>本项施工范围主要包括：将原位于南京市鼓楼区石头城路118号2楼机房设备整体搬迁至南京市玄武区运粮河西路101号麒麟三网融合中心4号楼2-2机房。</w:t>
      </w:r>
    </w:p>
    <w:p>
      <w:pPr>
        <w:pStyle w:val="38"/>
        <w:numPr>
          <w:ilvl w:val="0"/>
          <w:numId w:val="14"/>
        </w:numPr>
        <w:spacing w:line="360" w:lineRule="auto"/>
        <w:ind w:firstLineChars="0"/>
        <w:rPr>
          <w:szCs w:val="21"/>
        </w:rPr>
      </w:pPr>
      <w:r>
        <w:rPr>
          <w:rFonts w:hint="eastAsia"/>
          <w:bCs/>
          <w:szCs w:val="21"/>
        </w:rPr>
        <w:t>施工方提供所有工具材料、测量统计，完成综合布线，完成设备下电、拆卸、运输、安装、调试、启用，直至业务完成上线，交付使用。</w:t>
      </w:r>
    </w:p>
    <w:p>
      <w:pPr>
        <w:pStyle w:val="38"/>
        <w:numPr>
          <w:ilvl w:val="0"/>
          <w:numId w:val="14"/>
        </w:numPr>
        <w:spacing w:line="360" w:lineRule="auto"/>
        <w:ind w:firstLineChars="0"/>
        <w:rPr>
          <w:szCs w:val="21"/>
        </w:rPr>
      </w:pPr>
      <w:r>
        <w:rPr>
          <w:rFonts w:hint="eastAsia"/>
          <w:bCs/>
          <w:szCs w:val="21"/>
        </w:rPr>
        <w:t>设备划分如下：</w:t>
      </w:r>
    </w:p>
    <w:tbl>
      <w:tblPr>
        <w:tblStyle w:val="24"/>
        <w:tblpPr w:leftFromText="180" w:rightFromText="180" w:vertAnchor="text" w:horzAnchor="page" w:tblpX="1842" w:tblpY="4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98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36" w:type="dxa"/>
            <w:shd w:val="clear" w:color="auto" w:fill="E6E6E6"/>
            <w:vAlign w:val="center"/>
          </w:tcPr>
          <w:p>
            <w:pPr>
              <w:widowControl/>
              <w:jc w:val="center"/>
              <w:rPr>
                <w:rFonts w:cs="Arial"/>
                <w:color w:val="000000"/>
                <w:kern w:val="0"/>
                <w:sz w:val="20"/>
                <w:szCs w:val="20"/>
              </w:rPr>
            </w:pPr>
            <w:r>
              <w:rPr>
                <w:rFonts w:hint="eastAsia" w:cs="Arial"/>
                <w:color w:val="000000"/>
                <w:kern w:val="0"/>
                <w:sz w:val="20"/>
                <w:szCs w:val="20"/>
              </w:rPr>
              <w:t>序号</w:t>
            </w:r>
          </w:p>
        </w:tc>
        <w:tc>
          <w:tcPr>
            <w:tcW w:w="1980" w:type="dxa"/>
            <w:shd w:val="clear" w:color="auto" w:fill="E6E6E6"/>
            <w:vAlign w:val="center"/>
          </w:tcPr>
          <w:p>
            <w:pPr>
              <w:widowControl/>
              <w:jc w:val="center"/>
              <w:rPr>
                <w:rFonts w:cs="Arial"/>
                <w:color w:val="000000"/>
                <w:kern w:val="0"/>
                <w:sz w:val="20"/>
                <w:szCs w:val="20"/>
              </w:rPr>
            </w:pPr>
            <w:r>
              <w:rPr>
                <w:rFonts w:hint="eastAsia" w:cs="Arial"/>
                <w:color w:val="000000"/>
                <w:kern w:val="0"/>
                <w:sz w:val="20"/>
                <w:szCs w:val="20"/>
              </w:rPr>
              <w:t>系统平台</w:t>
            </w:r>
          </w:p>
        </w:tc>
        <w:tc>
          <w:tcPr>
            <w:tcW w:w="1620" w:type="dxa"/>
            <w:shd w:val="clear" w:color="auto" w:fill="E6E6E6"/>
            <w:vAlign w:val="center"/>
          </w:tcPr>
          <w:p>
            <w:pPr>
              <w:widowControl/>
              <w:jc w:val="center"/>
              <w:rPr>
                <w:rFonts w:cs="Arial"/>
                <w:color w:val="000000"/>
                <w:kern w:val="0"/>
                <w:sz w:val="20"/>
                <w:szCs w:val="20"/>
              </w:rPr>
            </w:pPr>
            <w:r>
              <w:rPr>
                <w:rFonts w:hint="eastAsia" w:cs="Arial"/>
                <w:color w:val="000000"/>
                <w:kern w:val="0"/>
                <w:sz w:val="20"/>
                <w:szCs w:val="20"/>
              </w:rPr>
              <w:t>数量</w:t>
            </w:r>
          </w:p>
        </w:tc>
        <w:tc>
          <w:tcPr>
            <w:tcW w:w="3600" w:type="dxa"/>
            <w:shd w:val="clear" w:color="auto" w:fill="E6E6E6"/>
            <w:vAlign w:val="center"/>
          </w:tcPr>
          <w:p>
            <w:pPr>
              <w:widowControl/>
              <w:jc w:val="center"/>
              <w:rPr>
                <w:rFonts w:cs="Arial"/>
                <w:color w:val="000000"/>
                <w:kern w:val="0"/>
                <w:sz w:val="20"/>
                <w:szCs w:val="20"/>
              </w:rPr>
            </w:pPr>
            <w:r>
              <w:rPr>
                <w:rFonts w:hint="eastAsia" w:cs="Arial"/>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widowControl/>
              <w:ind w:firstLine="400"/>
              <w:jc w:val="center"/>
              <w:rPr>
                <w:rFonts w:cs="Arial"/>
                <w:color w:val="000000"/>
                <w:kern w:val="0"/>
                <w:sz w:val="20"/>
                <w:szCs w:val="20"/>
              </w:rPr>
            </w:pPr>
            <w:r>
              <w:rPr>
                <w:rFonts w:hint="eastAsia" w:cs="Arial"/>
                <w:color w:val="000000"/>
                <w:kern w:val="0"/>
                <w:sz w:val="20"/>
                <w:szCs w:val="20"/>
              </w:rPr>
              <w:t>1</w:t>
            </w:r>
          </w:p>
        </w:tc>
        <w:tc>
          <w:tcPr>
            <w:tcW w:w="1980" w:type="dxa"/>
            <w:vAlign w:val="center"/>
          </w:tcPr>
          <w:p>
            <w:pPr>
              <w:widowControl/>
              <w:jc w:val="center"/>
              <w:rPr>
                <w:rFonts w:cs="Arial"/>
                <w:color w:val="000000"/>
                <w:kern w:val="0"/>
                <w:sz w:val="20"/>
                <w:szCs w:val="20"/>
              </w:rPr>
            </w:pPr>
            <w:r>
              <w:rPr>
                <w:rFonts w:hint="eastAsia" w:cs="Arial"/>
                <w:color w:val="000000"/>
                <w:kern w:val="0"/>
                <w:sz w:val="20"/>
                <w:szCs w:val="20"/>
              </w:rPr>
              <w:t>宽带出口系统</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65台</w:t>
            </w:r>
          </w:p>
        </w:tc>
        <w:tc>
          <w:tcPr>
            <w:tcW w:w="3600" w:type="dxa"/>
            <w:vAlign w:val="center"/>
          </w:tcPr>
          <w:p>
            <w:pPr>
              <w:widowControl/>
              <w:jc w:val="center"/>
              <w:rPr>
                <w:rFonts w:cs="Arial"/>
                <w:color w:val="000000"/>
                <w:kern w:val="0"/>
                <w:sz w:val="20"/>
                <w:szCs w:val="20"/>
              </w:rPr>
            </w:pPr>
            <w:r>
              <w:rPr>
                <w:rFonts w:hint="eastAsia" w:cs="Arial"/>
                <w:color w:val="000000"/>
                <w:kern w:val="0"/>
                <w:sz w:val="20"/>
                <w:szCs w:val="20"/>
              </w:rPr>
              <w:t>部分设备含交直流模块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widowControl/>
              <w:ind w:firstLine="400"/>
              <w:jc w:val="center"/>
              <w:rPr>
                <w:rFonts w:cs="Arial"/>
                <w:color w:val="000000"/>
                <w:kern w:val="0"/>
                <w:sz w:val="20"/>
                <w:szCs w:val="20"/>
              </w:rPr>
            </w:pPr>
            <w:r>
              <w:rPr>
                <w:rFonts w:hint="eastAsia" w:cs="Arial"/>
                <w:color w:val="000000"/>
                <w:kern w:val="0"/>
                <w:sz w:val="20"/>
                <w:szCs w:val="20"/>
              </w:rPr>
              <w:t>2</w:t>
            </w:r>
          </w:p>
        </w:tc>
        <w:tc>
          <w:tcPr>
            <w:tcW w:w="1980" w:type="dxa"/>
            <w:vAlign w:val="center"/>
          </w:tcPr>
          <w:p>
            <w:pPr>
              <w:widowControl/>
              <w:jc w:val="center"/>
              <w:rPr>
                <w:rFonts w:cs="Arial"/>
                <w:color w:val="000000"/>
                <w:kern w:val="0"/>
                <w:sz w:val="20"/>
                <w:szCs w:val="20"/>
              </w:rPr>
            </w:pPr>
            <w:r>
              <w:rPr>
                <w:rFonts w:hint="eastAsia" w:cs="Arial"/>
                <w:color w:val="000000"/>
                <w:kern w:val="0"/>
                <w:sz w:val="20"/>
                <w:szCs w:val="20"/>
              </w:rPr>
              <w:t>DNS系统</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20台</w:t>
            </w:r>
          </w:p>
        </w:tc>
        <w:tc>
          <w:tcPr>
            <w:tcW w:w="3600" w:type="dxa"/>
            <w:vAlign w:val="center"/>
          </w:tcPr>
          <w:p>
            <w:pPr>
              <w:widowControl/>
              <w:ind w:firstLine="400"/>
              <w:jc w:val="center"/>
              <w:rPr>
                <w:rFonts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6" w:type="dxa"/>
            <w:vAlign w:val="center"/>
          </w:tcPr>
          <w:p>
            <w:pPr>
              <w:widowControl/>
              <w:ind w:firstLine="400"/>
              <w:jc w:val="center"/>
              <w:rPr>
                <w:rFonts w:cs="Arial"/>
                <w:color w:val="000000"/>
                <w:kern w:val="0"/>
                <w:sz w:val="20"/>
                <w:szCs w:val="20"/>
              </w:rPr>
            </w:pPr>
            <w:r>
              <w:rPr>
                <w:rFonts w:hint="eastAsia" w:cs="Arial"/>
                <w:color w:val="000000"/>
                <w:kern w:val="0"/>
                <w:sz w:val="20"/>
                <w:szCs w:val="20"/>
              </w:rPr>
              <w:t>3</w:t>
            </w:r>
          </w:p>
        </w:tc>
        <w:tc>
          <w:tcPr>
            <w:tcW w:w="1980" w:type="dxa"/>
            <w:vAlign w:val="center"/>
          </w:tcPr>
          <w:p>
            <w:pPr>
              <w:widowControl/>
              <w:jc w:val="center"/>
              <w:rPr>
                <w:rFonts w:cs="Arial"/>
                <w:color w:val="000000"/>
                <w:kern w:val="0"/>
                <w:sz w:val="20"/>
                <w:szCs w:val="20"/>
              </w:rPr>
            </w:pPr>
            <w:r>
              <w:rPr>
                <w:rFonts w:hint="eastAsia" w:cs="Arial"/>
                <w:color w:val="000000"/>
                <w:kern w:val="0"/>
                <w:sz w:val="20"/>
                <w:szCs w:val="20"/>
              </w:rPr>
              <w:t>缓存系统</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11台</w:t>
            </w:r>
          </w:p>
        </w:tc>
        <w:tc>
          <w:tcPr>
            <w:tcW w:w="3600" w:type="dxa"/>
            <w:vAlign w:val="center"/>
          </w:tcPr>
          <w:p>
            <w:pPr>
              <w:widowControl/>
              <w:ind w:firstLine="400"/>
              <w:jc w:val="center"/>
              <w:rPr>
                <w:rFonts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widowControl/>
              <w:ind w:firstLine="400"/>
              <w:jc w:val="center"/>
              <w:rPr>
                <w:rFonts w:cs="Arial"/>
                <w:color w:val="000000"/>
                <w:kern w:val="0"/>
                <w:sz w:val="20"/>
                <w:szCs w:val="20"/>
              </w:rPr>
            </w:pPr>
            <w:r>
              <w:rPr>
                <w:rFonts w:cs="Arial"/>
                <w:color w:val="000000"/>
                <w:kern w:val="0"/>
                <w:sz w:val="20"/>
                <w:szCs w:val="20"/>
              </w:rPr>
              <w:t>4</w:t>
            </w:r>
          </w:p>
        </w:tc>
        <w:tc>
          <w:tcPr>
            <w:tcW w:w="1980" w:type="dxa"/>
          </w:tcPr>
          <w:p>
            <w:pPr>
              <w:widowControl/>
              <w:jc w:val="center"/>
              <w:rPr>
                <w:rFonts w:cs="Arial"/>
                <w:color w:val="000000"/>
                <w:kern w:val="0"/>
                <w:sz w:val="20"/>
                <w:szCs w:val="20"/>
              </w:rPr>
            </w:pPr>
            <w:r>
              <w:rPr>
                <w:rFonts w:hint="eastAsia" w:cs="Arial"/>
                <w:color w:val="000000"/>
                <w:kern w:val="0"/>
                <w:sz w:val="20"/>
                <w:szCs w:val="20"/>
              </w:rPr>
              <w:t>网管系统</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10台</w:t>
            </w:r>
          </w:p>
        </w:tc>
        <w:tc>
          <w:tcPr>
            <w:tcW w:w="3600" w:type="dxa"/>
          </w:tcPr>
          <w:p>
            <w:pPr>
              <w:widowControl/>
              <w:ind w:firstLine="400"/>
              <w:jc w:val="center"/>
              <w:rPr>
                <w:rFonts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widowControl/>
              <w:ind w:firstLine="400"/>
              <w:jc w:val="center"/>
              <w:rPr>
                <w:rFonts w:cs="Arial"/>
                <w:color w:val="000000"/>
                <w:kern w:val="0"/>
                <w:sz w:val="20"/>
                <w:szCs w:val="20"/>
              </w:rPr>
            </w:pPr>
            <w:r>
              <w:rPr>
                <w:rFonts w:cs="Arial"/>
                <w:color w:val="000000"/>
                <w:kern w:val="0"/>
                <w:sz w:val="20"/>
                <w:szCs w:val="20"/>
              </w:rPr>
              <w:t>5</w:t>
            </w:r>
          </w:p>
        </w:tc>
        <w:tc>
          <w:tcPr>
            <w:tcW w:w="1980" w:type="dxa"/>
          </w:tcPr>
          <w:p>
            <w:pPr>
              <w:widowControl/>
              <w:jc w:val="center"/>
              <w:rPr>
                <w:rFonts w:cs="Arial"/>
                <w:color w:val="000000"/>
                <w:kern w:val="0"/>
                <w:sz w:val="20"/>
                <w:szCs w:val="20"/>
              </w:rPr>
            </w:pPr>
            <w:r>
              <w:rPr>
                <w:rFonts w:hint="eastAsia" w:cs="Arial"/>
                <w:color w:val="000000"/>
                <w:kern w:val="0"/>
                <w:sz w:val="20"/>
                <w:szCs w:val="20"/>
              </w:rPr>
              <w:t>大电视系统</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63台</w:t>
            </w:r>
          </w:p>
        </w:tc>
        <w:tc>
          <w:tcPr>
            <w:tcW w:w="3600" w:type="dxa"/>
          </w:tcPr>
          <w:p>
            <w:pPr>
              <w:widowControl/>
              <w:ind w:firstLine="400"/>
              <w:jc w:val="center"/>
              <w:rPr>
                <w:rFonts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widowControl/>
              <w:ind w:firstLine="400"/>
              <w:jc w:val="center"/>
              <w:rPr>
                <w:rFonts w:cs="Arial"/>
                <w:color w:val="000000"/>
                <w:kern w:val="0"/>
                <w:sz w:val="20"/>
                <w:szCs w:val="20"/>
              </w:rPr>
            </w:pPr>
            <w:r>
              <w:rPr>
                <w:rFonts w:cs="Arial"/>
                <w:color w:val="000000"/>
                <w:kern w:val="0"/>
                <w:sz w:val="20"/>
                <w:szCs w:val="20"/>
              </w:rPr>
              <w:t>6</w:t>
            </w:r>
          </w:p>
        </w:tc>
        <w:tc>
          <w:tcPr>
            <w:tcW w:w="1980" w:type="dxa"/>
            <w:vAlign w:val="center"/>
          </w:tcPr>
          <w:p>
            <w:pPr>
              <w:widowControl/>
              <w:jc w:val="center"/>
              <w:rPr>
                <w:rFonts w:cs="Arial"/>
                <w:color w:val="000000"/>
                <w:kern w:val="0"/>
                <w:sz w:val="20"/>
                <w:szCs w:val="20"/>
              </w:rPr>
            </w:pPr>
            <w:r>
              <w:rPr>
                <w:rFonts w:hint="eastAsia" w:cs="Arial"/>
                <w:color w:val="000000"/>
                <w:kern w:val="0"/>
                <w:sz w:val="20"/>
                <w:szCs w:val="20"/>
              </w:rPr>
              <w:t>其他系统</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44台</w:t>
            </w:r>
          </w:p>
        </w:tc>
        <w:tc>
          <w:tcPr>
            <w:tcW w:w="3600" w:type="dxa"/>
            <w:vAlign w:val="center"/>
          </w:tcPr>
          <w:p>
            <w:pPr>
              <w:widowControl/>
              <w:ind w:firstLine="400"/>
              <w:jc w:val="center"/>
              <w:rPr>
                <w:rFonts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widowControl/>
              <w:ind w:firstLine="400"/>
              <w:jc w:val="center"/>
              <w:rPr>
                <w:rFonts w:cs="Arial"/>
                <w:color w:val="000000"/>
                <w:kern w:val="0"/>
                <w:sz w:val="20"/>
                <w:szCs w:val="20"/>
              </w:rPr>
            </w:pPr>
            <w:r>
              <w:rPr>
                <w:rFonts w:hint="eastAsia" w:cs="Arial"/>
                <w:color w:val="000000"/>
                <w:kern w:val="0"/>
                <w:sz w:val="20"/>
                <w:szCs w:val="20"/>
              </w:rPr>
              <w:t>7</w:t>
            </w:r>
          </w:p>
        </w:tc>
        <w:tc>
          <w:tcPr>
            <w:tcW w:w="1980" w:type="dxa"/>
            <w:vAlign w:val="center"/>
          </w:tcPr>
          <w:p>
            <w:pPr>
              <w:widowControl/>
              <w:jc w:val="center"/>
              <w:rPr>
                <w:rFonts w:cs="Arial"/>
                <w:color w:val="000000"/>
                <w:kern w:val="0"/>
                <w:sz w:val="20"/>
                <w:szCs w:val="20"/>
              </w:rPr>
            </w:pPr>
            <w:r>
              <w:rPr>
                <w:rFonts w:hint="eastAsia" w:cs="Arial"/>
                <w:color w:val="000000"/>
                <w:kern w:val="0"/>
                <w:sz w:val="20"/>
                <w:szCs w:val="20"/>
              </w:rPr>
              <w:t>传输系统</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9台</w:t>
            </w:r>
          </w:p>
        </w:tc>
        <w:tc>
          <w:tcPr>
            <w:tcW w:w="3600" w:type="dxa"/>
            <w:vAlign w:val="center"/>
          </w:tcPr>
          <w:p>
            <w:pPr>
              <w:widowControl/>
              <w:ind w:firstLine="400"/>
              <w:jc w:val="center"/>
              <w:rPr>
                <w:rFonts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widowControl/>
              <w:ind w:firstLine="400"/>
              <w:jc w:val="center"/>
              <w:rPr>
                <w:rFonts w:cs="Arial"/>
                <w:color w:val="000000"/>
                <w:kern w:val="0"/>
                <w:sz w:val="20"/>
                <w:szCs w:val="20"/>
              </w:rPr>
            </w:pPr>
            <w:r>
              <w:rPr>
                <w:rFonts w:hint="eastAsia" w:cs="Arial"/>
                <w:color w:val="000000"/>
                <w:kern w:val="0"/>
                <w:sz w:val="20"/>
                <w:szCs w:val="20"/>
              </w:rPr>
              <w:t>8</w:t>
            </w:r>
          </w:p>
        </w:tc>
        <w:tc>
          <w:tcPr>
            <w:tcW w:w="1980" w:type="dxa"/>
            <w:vAlign w:val="center"/>
          </w:tcPr>
          <w:p>
            <w:pPr>
              <w:widowControl/>
              <w:jc w:val="center"/>
              <w:rPr>
                <w:rFonts w:cs="Arial"/>
                <w:color w:val="000000"/>
                <w:kern w:val="0"/>
                <w:sz w:val="20"/>
                <w:szCs w:val="20"/>
              </w:rPr>
            </w:pPr>
            <w:r>
              <w:rPr>
                <w:rFonts w:hint="eastAsia" w:cs="Arial"/>
                <w:color w:val="000000"/>
                <w:kern w:val="0"/>
                <w:sz w:val="20"/>
                <w:szCs w:val="20"/>
              </w:rPr>
              <w:t>显示屏</w:t>
            </w:r>
          </w:p>
        </w:tc>
        <w:tc>
          <w:tcPr>
            <w:tcW w:w="1620" w:type="dxa"/>
            <w:vAlign w:val="center"/>
          </w:tcPr>
          <w:p>
            <w:pPr>
              <w:widowControl/>
              <w:jc w:val="center"/>
              <w:rPr>
                <w:rFonts w:cs="Arial"/>
                <w:color w:val="000000"/>
                <w:kern w:val="0"/>
                <w:sz w:val="20"/>
                <w:szCs w:val="20"/>
              </w:rPr>
            </w:pPr>
            <w:r>
              <w:rPr>
                <w:rFonts w:hint="eastAsia" w:cs="Arial"/>
                <w:color w:val="000000"/>
                <w:kern w:val="0"/>
                <w:sz w:val="20"/>
                <w:szCs w:val="20"/>
              </w:rPr>
              <w:t>12块</w:t>
            </w:r>
          </w:p>
        </w:tc>
        <w:tc>
          <w:tcPr>
            <w:tcW w:w="3600" w:type="dxa"/>
            <w:vAlign w:val="center"/>
          </w:tcPr>
          <w:p>
            <w:pPr>
              <w:widowControl/>
              <w:jc w:val="center"/>
              <w:rPr>
                <w:rFonts w:cs="Arial"/>
                <w:color w:val="000000"/>
                <w:kern w:val="0"/>
                <w:sz w:val="20"/>
                <w:szCs w:val="20"/>
              </w:rPr>
            </w:pPr>
            <w:r>
              <w:rPr>
                <w:rFonts w:hint="eastAsia" w:cs="Arial"/>
                <w:color w:val="000000"/>
                <w:kern w:val="0"/>
                <w:sz w:val="20"/>
                <w:szCs w:val="20"/>
              </w:rPr>
              <w:t>大塔三楼监控大厅显示屏</w:t>
            </w:r>
          </w:p>
        </w:tc>
      </w:tr>
    </w:tbl>
    <w:p>
      <w:pPr>
        <w:pStyle w:val="38"/>
        <w:spacing w:line="360" w:lineRule="auto"/>
        <w:ind w:firstLine="0" w:firstLineChars="0"/>
        <w:rPr>
          <w:szCs w:val="21"/>
        </w:rPr>
      </w:pPr>
    </w:p>
    <w:p>
      <w:pPr>
        <w:pStyle w:val="67"/>
        <w:ind w:firstLine="480"/>
      </w:pPr>
      <w:r>
        <w:rPr>
          <w:rFonts w:hint="eastAsia" w:cs="宋体"/>
          <w:sz w:val="24"/>
        </w:rPr>
        <w:t>★3.3</w:t>
      </w:r>
      <w:r>
        <w:rPr>
          <w:rFonts w:hint="eastAsia"/>
        </w:rPr>
        <w:t>施工内容</w:t>
      </w:r>
    </w:p>
    <w:p>
      <w:pPr>
        <w:pStyle w:val="13"/>
        <w:spacing w:line="360" w:lineRule="auto"/>
        <w:ind w:firstLine="420"/>
        <w:rPr>
          <w:szCs w:val="21"/>
        </w:rPr>
      </w:pPr>
      <w:r>
        <w:rPr>
          <w:rFonts w:hint="eastAsia"/>
          <w:szCs w:val="21"/>
        </w:rPr>
        <w:t>本项目为交钥匙工程，包括但不限于以下施工内容：</w:t>
      </w:r>
    </w:p>
    <w:p>
      <w:pPr>
        <w:pStyle w:val="13"/>
        <w:spacing w:line="360" w:lineRule="auto"/>
        <w:ind w:firstLine="420"/>
        <w:rPr>
          <w:szCs w:val="21"/>
        </w:rPr>
      </w:pPr>
      <w:r>
        <w:rPr>
          <w:rFonts w:hint="eastAsia"/>
          <w:szCs w:val="21"/>
        </w:rPr>
        <w:t>将位于南京市鼓楼区石头城路118号2楼机房设备整体搬迁至南京市玄武区运粮河西路101号麒麟三网融合中心4号楼2-2机房。</w:t>
      </w:r>
    </w:p>
    <w:p>
      <w:pPr>
        <w:pStyle w:val="38"/>
        <w:numPr>
          <w:ilvl w:val="0"/>
          <w:numId w:val="15"/>
        </w:numPr>
        <w:spacing w:line="360" w:lineRule="auto"/>
        <w:ind w:firstLineChars="0"/>
        <w:rPr>
          <w:bCs/>
          <w:szCs w:val="21"/>
        </w:rPr>
      </w:pPr>
      <w:r>
        <w:rPr>
          <w:rFonts w:hint="eastAsia"/>
          <w:bCs/>
          <w:szCs w:val="21"/>
        </w:rPr>
        <w:t>布线和软调</w:t>
      </w:r>
    </w:p>
    <w:p>
      <w:pPr>
        <w:pStyle w:val="38"/>
        <w:numPr>
          <w:ilvl w:val="1"/>
          <w:numId w:val="16"/>
        </w:numPr>
        <w:spacing w:line="360" w:lineRule="auto"/>
        <w:ind w:left="1214" w:firstLineChars="0"/>
        <w:rPr>
          <w:bCs/>
          <w:szCs w:val="21"/>
        </w:rPr>
      </w:pPr>
      <w:r>
        <w:rPr>
          <w:rFonts w:hint="eastAsia"/>
          <w:bCs/>
          <w:szCs w:val="21"/>
        </w:rPr>
        <w:t>施工方按照搬迁方案，购买设备辅材，运输到指定位置，制作线缆和接头，提前布放光纤、网线、电源线等。</w:t>
      </w:r>
    </w:p>
    <w:p>
      <w:pPr>
        <w:pStyle w:val="38"/>
        <w:numPr>
          <w:ilvl w:val="1"/>
          <w:numId w:val="16"/>
        </w:numPr>
        <w:spacing w:line="360" w:lineRule="auto"/>
        <w:ind w:left="1214" w:firstLineChars="0"/>
        <w:rPr>
          <w:bCs/>
          <w:szCs w:val="21"/>
        </w:rPr>
      </w:pPr>
      <w:r>
        <w:rPr>
          <w:rFonts w:hint="eastAsia"/>
          <w:bCs/>
          <w:szCs w:val="21"/>
        </w:rPr>
        <w:t>设备搬迁前，做好数据备份、上下游和本站站光功率值记录等工作。</w:t>
      </w:r>
      <w:r>
        <w:rPr>
          <w:bCs/>
          <w:szCs w:val="21"/>
        </w:rPr>
        <w:t xml:space="preserve"> </w:t>
      </w:r>
    </w:p>
    <w:p>
      <w:pPr>
        <w:pStyle w:val="38"/>
        <w:numPr>
          <w:ilvl w:val="1"/>
          <w:numId w:val="16"/>
        </w:numPr>
        <w:spacing w:line="360" w:lineRule="auto"/>
        <w:ind w:left="1214" w:firstLineChars="0"/>
        <w:rPr>
          <w:bCs/>
          <w:szCs w:val="21"/>
        </w:rPr>
      </w:pPr>
      <w:r>
        <w:rPr>
          <w:rFonts w:hint="eastAsia"/>
          <w:bCs/>
          <w:szCs w:val="21"/>
        </w:rPr>
        <w:t>设备搬迁后，施工方按要求安装设备，连接线缆（网线、光纤、电源线等），配合进行跳线等；完成系统调测，包括业务通道状态、光功率、平坦度等。</w:t>
      </w:r>
    </w:p>
    <w:p>
      <w:pPr>
        <w:pStyle w:val="38"/>
        <w:numPr>
          <w:ilvl w:val="1"/>
          <w:numId w:val="16"/>
        </w:numPr>
        <w:spacing w:line="360" w:lineRule="auto"/>
        <w:ind w:left="1214" w:firstLineChars="0"/>
        <w:rPr>
          <w:bCs/>
          <w:szCs w:val="21"/>
        </w:rPr>
      </w:pPr>
      <w:r>
        <w:rPr>
          <w:rFonts w:hint="eastAsia"/>
          <w:bCs/>
          <w:szCs w:val="21"/>
        </w:rPr>
        <w:t>施工方按照施工工艺要求进行施工，所有尾纤必须测试符合要求后使用，如有问题应及时解决，制作临时标签和永久标签，绑扎线缆整齐美观。</w:t>
      </w:r>
    </w:p>
    <w:p>
      <w:pPr>
        <w:pStyle w:val="38"/>
        <w:numPr>
          <w:ilvl w:val="0"/>
          <w:numId w:val="15"/>
        </w:numPr>
        <w:spacing w:line="360" w:lineRule="auto"/>
        <w:ind w:firstLineChars="0"/>
        <w:rPr>
          <w:bCs/>
          <w:szCs w:val="21"/>
        </w:rPr>
      </w:pPr>
      <w:r>
        <w:rPr>
          <w:rFonts w:hint="eastAsia"/>
          <w:bCs/>
          <w:szCs w:val="21"/>
        </w:rPr>
        <w:t>应急预案和演练</w:t>
      </w:r>
    </w:p>
    <w:p>
      <w:pPr>
        <w:pStyle w:val="38"/>
        <w:spacing w:line="360" w:lineRule="auto"/>
        <w:ind w:left="840" w:firstLine="0" w:firstLineChars="0"/>
        <w:rPr>
          <w:bCs/>
          <w:szCs w:val="21"/>
        </w:rPr>
      </w:pPr>
      <w:r>
        <w:rPr>
          <w:rFonts w:hint="eastAsia"/>
          <w:bCs/>
          <w:szCs w:val="21"/>
        </w:rPr>
        <w:t>根据搬迁过程中可能存在的问题，制定应急预案并完成应急演练，包括：主备路切换演练，应急演练。</w:t>
      </w:r>
    </w:p>
    <w:p>
      <w:pPr>
        <w:pStyle w:val="38"/>
        <w:numPr>
          <w:ilvl w:val="0"/>
          <w:numId w:val="15"/>
        </w:numPr>
        <w:spacing w:line="360" w:lineRule="auto"/>
        <w:ind w:firstLineChars="0"/>
        <w:rPr>
          <w:bCs/>
          <w:szCs w:val="21"/>
        </w:rPr>
      </w:pPr>
      <w:r>
        <w:rPr>
          <w:rFonts w:hint="eastAsia"/>
          <w:bCs/>
          <w:szCs w:val="21"/>
        </w:rPr>
        <w:t>系统安全保障</w:t>
      </w:r>
    </w:p>
    <w:p>
      <w:pPr>
        <w:pStyle w:val="38"/>
        <w:numPr>
          <w:ilvl w:val="0"/>
          <w:numId w:val="17"/>
        </w:numPr>
        <w:spacing w:line="360" w:lineRule="auto"/>
        <w:ind w:left="1214" w:firstLineChars="0"/>
        <w:rPr>
          <w:bCs/>
          <w:szCs w:val="21"/>
        </w:rPr>
      </w:pPr>
      <w:r>
        <w:rPr>
          <w:rFonts w:hint="eastAsia"/>
          <w:bCs/>
          <w:szCs w:val="21"/>
        </w:rPr>
        <w:t>系统搬迁过程中确保广播业务不间断；</w:t>
      </w:r>
    </w:p>
    <w:p>
      <w:pPr>
        <w:pStyle w:val="38"/>
        <w:numPr>
          <w:ilvl w:val="0"/>
          <w:numId w:val="17"/>
        </w:numPr>
        <w:spacing w:line="360" w:lineRule="auto"/>
        <w:ind w:left="1214" w:firstLineChars="0"/>
        <w:rPr>
          <w:bCs/>
          <w:szCs w:val="21"/>
        </w:rPr>
      </w:pPr>
      <w:r>
        <w:rPr>
          <w:rFonts w:hint="eastAsia"/>
          <w:bCs/>
          <w:szCs w:val="21"/>
        </w:rPr>
        <w:t>系统搬迁过程中提供</w:t>
      </w:r>
      <w:r>
        <w:rPr>
          <w:bCs/>
          <w:szCs w:val="21"/>
        </w:rPr>
        <w:t>24小时不间断的现场支撑工作；</w:t>
      </w:r>
    </w:p>
    <w:p>
      <w:pPr>
        <w:pStyle w:val="38"/>
        <w:spacing w:line="360" w:lineRule="auto"/>
        <w:rPr>
          <w:szCs w:val="21"/>
        </w:rPr>
      </w:pPr>
      <w:r>
        <w:rPr>
          <w:rFonts w:hint="eastAsia"/>
          <w:szCs w:val="21"/>
        </w:rPr>
        <w:t>说明：以上施工内容为基本要求，应根据技术交流、现场勘探的情况，进一步补充、完善、改进，制定搬迁方案、应急方案、安全保障措施等。</w:t>
      </w:r>
    </w:p>
    <w:p>
      <w:pPr>
        <w:pStyle w:val="66"/>
        <w:jc w:val="center"/>
      </w:pPr>
      <w:r>
        <w:rPr>
          <w:rFonts w:hint="eastAsia"/>
        </w:rPr>
        <w:br w:type="page"/>
      </w:r>
      <w:bookmarkStart w:id="21" w:name="_Toc166247624"/>
      <w:r>
        <w:rPr>
          <w:rFonts w:hint="eastAsia"/>
        </w:rPr>
        <w:t>第六章 竞争性谈判响应文件格式</w:t>
      </w:r>
      <w:bookmarkEnd w:id="21"/>
      <w:r>
        <w:br w:type="page"/>
      </w:r>
    </w:p>
    <w:p/>
    <w:p/>
    <w:p/>
    <w:p>
      <w:pPr>
        <w:jc w:val="center"/>
        <w:rPr>
          <w:rFonts w:ascii="宋体" w:hAnsi="宋体"/>
          <w:sz w:val="44"/>
          <w:szCs w:val="44"/>
        </w:rPr>
      </w:pPr>
      <w:bookmarkStart w:id="22" w:name="_Toc26259736"/>
      <w:r>
        <w:rPr>
          <w:rFonts w:hint="eastAsia" w:ascii="宋体" w:hAnsi="宋体"/>
          <w:sz w:val="44"/>
          <w:szCs w:val="44"/>
        </w:rPr>
        <w:t>江苏省广电有线信息网络股份有限公司</w:t>
      </w:r>
    </w:p>
    <w:bookmarkEnd w:id="22"/>
    <w:p>
      <w:pPr>
        <w:jc w:val="center"/>
        <w:rPr>
          <w:sz w:val="48"/>
          <w:szCs w:val="48"/>
        </w:rPr>
      </w:pPr>
      <w:r>
        <w:rPr>
          <w:rFonts w:hint="eastAsia"/>
          <w:sz w:val="48"/>
          <w:szCs w:val="48"/>
        </w:rPr>
        <w:t>电视塔2楼机房设备搬迁项目</w:t>
      </w:r>
    </w:p>
    <w:p/>
    <w:p>
      <w:pPr>
        <w:pStyle w:val="8"/>
        <w:kinsoku w:val="0"/>
        <w:overflowPunct w:val="0"/>
        <w:adjustRightInd w:val="0"/>
        <w:snapToGrid w:val="0"/>
        <w:spacing w:before="312" w:beforeLines="100" w:after="312" w:afterLines="100"/>
        <w:ind w:left="210" w:leftChars="100" w:right="210" w:rightChars="100" w:firstLine="400"/>
        <w:jc w:val="left"/>
        <w:rPr>
          <w:sz w:val="20"/>
        </w:rPr>
      </w:pPr>
    </w:p>
    <w:p>
      <w:pPr>
        <w:pStyle w:val="8"/>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8"/>
        <w:kinsoku w:val="0"/>
        <w:overflowPunct w:val="0"/>
        <w:adjustRightInd w:val="0"/>
        <w:snapToGrid w:val="0"/>
        <w:spacing w:before="312" w:beforeLines="100" w:after="312" w:afterLines="100"/>
        <w:ind w:left="210" w:leftChars="100" w:right="210" w:rightChars="100" w:firstLine="880"/>
        <w:jc w:val="left"/>
        <w:rPr>
          <w:sz w:val="44"/>
          <w:szCs w:val="44"/>
        </w:rPr>
      </w:pPr>
    </w:p>
    <w:p>
      <w:pPr>
        <w:pStyle w:val="8"/>
        <w:kinsoku w:val="0"/>
        <w:overflowPunct w:val="0"/>
        <w:adjustRightInd w:val="0"/>
        <w:snapToGrid w:val="0"/>
        <w:spacing w:before="312" w:beforeLines="100" w:after="312" w:afterLines="100"/>
        <w:ind w:right="210" w:rightChars="100" w:firstLine="880"/>
        <w:jc w:val="left"/>
        <w:rPr>
          <w:sz w:val="44"/>
          <w:szCs w:val="44"/>
        </w:rPr>
      </w:pPr>
    </w:p>
    <w:p>
      <w:pPr>
        <w:pStyle w:val="8"/>
        <w:kinsoku w:val="0"/>
        <w:overflowPunct w:val="0"/>
        <w:adjustRightInd w:val="0"/>
        <w:snapToGrid w:val="0"/>
        <w:spacing w:before="312" w:beforeLines="100" w:after="312" w:afterLines="100"/>
        <w:ind w:right="210" w:rightChars="100" w:firstLine="880"/>
        <w:jc w:val="left"/>
        <w:rPr>
          <w:sz w:val="44"/>
          <w:szCs w:val="44"/>
        </w:rPr>
      </w:pPr>
    </w:p>
    <w:p>
      <w:pPr>
        <w:pStyle w:val="8"/>
        <w:kinsoku w:val="0"/>
        <w:overflowPunct w:val="0"/>
        <w:adjustRightInd w:val="0"/>
        <w:snapToGrid w:val="0"/>
        <w:spacing w:before="312" w:beforeLines="100" w:after="312" w:afterLines="100"/>
        <w:ind w:right="210" w:rightChars="100" w:firstLine="880"/>
        <w:jc w:val="left"/>
        <w:rPr>
          <w:sz w:val="44"/>
          <w:szCs w:val="44"/>
        </w:rPr>
      </w:pPr>
    </w:p>
    <w:p>
      <w:pPr>
        <w:pStyle w:val="8"/>
        <w:kinsoku w:val="0"/>
        <w:overflowPunct w:val="0"/>
        <w:adjustRightInd w:val="0"/>
        <w:snapToGrid w:val="0"/>
        <w:spacing w:before="312" w:beforeLines="100" w:after="312" w:afterLines="100"/>
        <w:ind w:right="210" w:rightChars="100" w:firstLine="880"/>
        <w:jc w:val="left"/>
        <w:rPr>
          <w:sz w:val="44"/>
          <w:szCs w:val="44"/>
        </w:rPr>
      </w:pPr>
    </w:p>
    <w:p>
      <w:pPr>
        <w:pStyle w:val="8"/>
        <w:kinsoku w:val="0"/>
        <w:overflowPunct w:val="0"/>
        <w:adjustRightInd w:val="0"/>
        <w:snapToGrid w:val="0"/>
        <w:spacing w:before="312" w:beforeLines="100" w:after="312" w:afterLines="100"/>
        <w:ind w:left="210" w:leftChars="100" w:right="210" w:rightChars="100" w:firstLine="1220"/>
        <w:jc w:val="left"/>
        <w:rPr>
          <w:sz w:val="61"/>
          <w:szCs w:val="61"/>
        </w:rPr>
      </w:pPr>
    </w:p>
    <w:p>
      <w:pPr>
        <w:pStyle w:val="8"/>
        <w:adjustRightInd w:val="0"/>
        <w:snapToGrid w:val="0"/>
        <w:spacing w:before="312" w:beforeLines="100" w:after="312" w:afterLines="100"/>
        <w:ind w:left="210" w:leftChars="100" w:right="210" w:rightChars="100" w:firstLine="420"/>
        <w:jc w:val="left"/>
        <w:rPr>
          <w:szCs w:val="28"/>
        </w:rPr>
      </w:pPr>
      <w:r>
        <w:rPr>
          <w:rFonts w:hint="eastAsia"/>
          <w:szCs w:val="28"/>
        </w:rPr>
        <w:t>供应商：（盖单位章）</w:t>
      </w:r>
    </w:p>
    <w:p>
      <w:pPr>
        <w:pStyle w:val="8"/>
        <w:adjustRightInd w:val="0"/>
        <w:snapToGrid w:val="0"/>
        <w:spacing w:before="312" w:beforeLines="100" w:after="312" w:afterLines="100"/>
        <w:ind w:left="210" w:leftChars="100" w:right="210" w:rightChars="100" w:firstLine="420"/>
        <w:jc w:val="left"/>
        <w:rPr>
          <w:szCs w:val="28"/>
        </w:rPr>
      </w:pPr>
      <w:r>
        <w:rPr>
          <w:rFonts w:hint="eastAsia"/>
          <w:szCs w:val="28"/>
        </w:rPr>
        <w:t>法定代表人或其委托代理人：（签字）</w:t>
      </w:r>
    </w:p>
    <w:p>
      <w:pPr>
        <w:pStyle w:val="8"/>
        <w:adjustRightInd w:val="0"/>
        <w:snapToGrid w:val="0"/>
        <w:spacing w:before="312" w:beforeLines="100" w:after="312" w:afterLines="100"/>
        <w:ind w:left="210" w:leftChars="100" w:right="210" w:rightChars="100" w:firstLine="420"/>
        <w:jc w:val="left"/>
      </w:pPr>
      <w:r>
        <w:rPr>
          <w:rFonts w:hint="eastAsia"/>
          <w:szCs w:val="28"/>
        </w:rPr>
        <w:t>年</w:t>
      </w:r>
      <w:r>
        <w:rPr>
          <w:rFonts w:hint="eastAsia"/>
          <w:spacing w:val="-3"/>
          <w:szCs w:val="28"/>
        </w:rPr>
        <w:t>月</w:t>
      </w:r>
      <w:r>
        <w:rPr>
          <w:rFonts w:hint="eastAsia"/>
          <w:szCs w:val="28"/>
        </w:rPr>
        <w:t>日</w:t>
      </w:r>
    </w:p>
    <w:p>
      <w:pPr>
        <w:pStyle w:val="40"/>
        <w:ind w:firstLine="0" w:firstLineChars="0"/>
        <w:rPr>
          <w:rFonts w:ascii="Arial" w:hAnsi="Arial" w:eastAsia="黑体" w:cs="Arial"/>
        </w:rPr>
      </w:pPr>
      <w:r>
        <w:rPr>
          <w:rFonts w:ascii="Arial" w:hAnsi="Arial" w:eastAsia="黑体" w:cs="Arial"/>
        </w:rPr>
        <w:br w:type="page"/>
      </w:r>
    </w:p>
    <w:p>
      <w:pPr>
        <w:pStyle w:val="67"/>
        <w:ind w:firstLine="440"/>
        <w:jc w:val="center"/>
      </w:pPr>
      <w:bookmarkStart w:id="23" w:name="_Toc529538374"/>
      <w:bookmarkStart w:id="24" w:name="_Toc26259737"/>
      <w:bookmarkStart w:id="25" w:name="_Toc472689687"/>
      <w:bookmarkStart w:id="26" w:name="_Toc69378658"/>
      <w:bookmarkStart w:id="27" w:name="_Toc26260030"/>
      <w:bookmarkStart w:id="28" w:name="_Toc447265603"/>
      <w:bookmarkStart w:id="29" w:name="_Toc447265317"/>
      <w:bookmarkStart w:id="30" w:name="_Toc438052118"/>
      <w:r>
        <w:rPr>
          <w:rFonts w:hint="eastAsia"/>
        </w:rPr>
        <w:t>评审索引表</w:t>
      </w:r>
      <w:bookmarkEnd w:id="23"/>
      <w:bookmarkEnd w:id="24"/>
      <w:bookmarkEnd w:id="25"/>
      <w:bookmarkEnd w:id="26"/>
      <w:bookmarkEnd w:id="27"/>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31" w:name="_Toc429954241"/>
      <w:bookmarkStart w:id="32" w:name="_Toc26259738"/>
      <w:bookmarkStart w:id="33" w:name="_Toc485737092"/>
      <w:bookmarkStart w:id="34" w:name="_Toc26260031"/>
      <w:bookmarkStart w:id="35" w:name="_Toc401151285"/>
      <w:bookmarkStart w:id="36" w:name="_Toc427071030"/>
      <w:bookmarkStart w:id="37" w:name="_Toc401216443"/>
      <w:bookmarkStart w:id="38" w:name="_Toc401133270"/>
      <w:bookmarkStart w:id="39" w:name="_Toc529538375"/>
    </w:p>
    <w:p>
      <w:pPr>
        <w:pStyle w:val="67"/>
        <w:ind w:firstLine="440"/>
        <w:jc w:val="center"/>
        <w:rPr>
          <w:b/>
          <w:bCs/>
        </w:rPr>
      </w:pPr>
      <w:bookmarkStart w:id="40" w:name="_Toc69378659"/>
      <w:r>
        <w:rPr>
          <w:rFonts w:hint="eastAsia"/>
        </w:rPr>
        <w:t>初步</w:t>
      </w:r>
      <w:r>
        <w:t>评审索引表</w:t>
      </w:r>
      <w:bookmarkEnd w:id="31"/>
      <w:bookmarkEnd w:id="32"/>
      <w:bookmarkEnd w:id="33"/>
      <w:bookmarkEnd w:id="34"/>
      <w:bookmarkEnd w:id="35"/>
      <w:bookmarkEnd w:id="36"/>
      <w:bookmarkEnd w:id="37"/>
      <w:bookmarkEnd w:id="38"/>
      <w:bookmarkEnd w:id="39"/>
      <w:bookmarkEnd w:id="40"/>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23"/>
      </w:pPr>
    </w:p>
    <w:p>
      <w:pPr>
        <w:pStyle w:val="23"/>
      </w:pPr>
    </w:p>
    <w:p>
      <w:pPr>
        <w:pStyle w:val="23"/>
      </w:pPr>
    </w:p>
    <w:p>
      <w:pPr>
        <w:pStyle w:val="23"/>
      </w:pPr>
    </w:p>
    <w:p>
      <w:pPr>
        <w:pStyle w:val="23"/>
      </w:pPr>
    </w:p>
    <w:p>
      <w:pPr>
        <w:pStyle w:val="67"/>
        <w:ind w:firstLine="440"/>
        <w:jc w:val="center"/>
        <w:rPr>
          <w:b/>
          <w:bCs/>
        </w:rPr>
      </w:pPr>
      <w:bookmarkStart w:id="41" w:name="_Toc26259739"/>
      <w:bookmarkStart w:id="42" w:name="_Toc69378660"/>
      <w:bookmarkStart w:id="43" w:name="_Toc26260032"/>
      <w:r>
        <w:rPr>
          <w:rFonts w:hint="eastAsia"/>
        </w:rPr>
        <w:t>详细</w:t>
      </w:r>
      <w:r>
        <w:t>评审索引表</w:t>
      </w:r>
      <w:bookmarkEnd w:id="41"/>
      <w:bookmarkEnd w:id="42"/>
      <w:bookmarkEnd w:id="43"/>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rPr>
            </w:pPr>
          </w:p>
        </w:tc>
        <w:tc>
          <w:tcPr>
            <w:tcW w:w="6778" w:type="dxa"/>
            <w:gridSpan w:val="2"/>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28"/>
    <w:bookmarkEnd w:id="29"/>
    <w:bookmarkEnd w:id="30"/>
    <w:p/>
    <w:p>
      <w:pPr>
        <w:sectPr>
          <w:pgSz w:w="11906" w:h="16838"/>
          <w:pgMar w:top="1440" w:right="1800" w:bottom="1440" w:left="1800" w:header="851" w:footer="992" w:gutter="0"/>
          <w:cols w:space="720" w:num="1"/>
          <w:docGrid w:type="lines" w:linePitch="312" w:charSpace="0"/>
        </w:sectPr>
      </w:pPr>
    </w:p>
    <w:p>
      <w:pPr>
        <w:pStyle w:val="67"/>
        <w:ind w:firstLine="482"/>
        <w:rPr>
          <w:rStyle w:val="41"/>
          <w:rFonts w:hAnsi="宋体"/>
          <w:b w:val="0"/>
          <w:sz w:val="24"/>
          <w:szCs w:val="24"/>
        </w:rPr>
      </w:pPr>
      <w:bookmarkStart w:id="44" w:name="_Toc161767428"/>
      <w:bookmarkStart w:id="45" w:name="_Toc135999006"/>
      <w:bookmarkStart w:id="46" w:name="_Toc69378663"/>
      <w:bookmarkStart w:id="47" w:name="_Toc26260033"/>
      <w:bookmarkStart w:id="48" w:name="_Toc438052120"/>
      <w:bookmarkStart w:id="49" w:name="_Toc529538377"/>
      <w:bookmarkStart w:id="50" w:name="_Toc472689688"/>
      <w:r>
        <w:rPr>
          <w:rStyle w:val="41"/>
          <w:rFonts w:hint="eastAsia" w:hAnsi="宋体"/>
          <w:sz w:val="24"/>
          <w:szCs w:val="24"/>
        </w:rPr>
        <w:t>附件</w:t>
      </w:r>
      <w:r>
        <w:rPr>
          <w:rStyle w:val="41"/>
          <w:rFonts w:hAnsi="宋体"/>
          <w:sz w:val="24"/>
          <w:szCs w:val="24"/>
        </w:rPr>
        <w:t>1</w:t>
      </w:r>
      <w:r>
        <w:rPr>
          <w:rStyle w:val="41"/>
          <w:rFonts w:hint="eastAsia" w:hAnsi="宋体"/>
          <w:sz w:val="24"/>
          <w:szCs w:val="24"/>
        </w:rPr>
        <w:t>：</w:t>
      </w:r>
      <w:bookmarkEnd w:id="44"/>
      <w:bookmarkEnd w:id="45"/>
      <w:r>
        <w:rPr>
          <w:rStyle w:val="41"/>
          <w:rFonts w:hint="eastAsia" w:hAnsi="宋体"/>
          <w:sz w:val="24"/>
          <w:szCs w:val="24"/>
        </w:rPr>
        <w:t>响应函</w:t>
      </w:r>
      <w:bookmarkEnd w:id="46"/>
      <w:bookmarkEnd w:id="47"/>
    </w:p>
    <w:p>
      <w:pPr>
        <w:snapToGrid w:val="0"/>
        <w:spacing w:before="312" w:beforeLines="100" w:after="312" w:afterLines="100"/>
        <w:ind w:left="210" w:leftChars="100" w:right="210" w:rightChars="100" w:firstLine="643" w:firstLineChars="200"/>
        <w:jc w:val="center"/>
        <w:rPr>
          <w:rStyle w:val="41"/>
          <w:rFonts w:ascii="宋体" w:hAnsi="宋体"/>
        </w:rPr>
      </w:pPr>
      <w:r>
        <w:rPr>
          <w:rStyle w:val="41"/>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67"/>
        <w:ind w:firstLine="440"/>
      </w:pPr>
      <w:r>
        <w:br w:type="page"/>
      </w:r>
      <w:bookmarkStart w:id="51" w:name="_Toc26259740"/>
      <w:bookmarkStart w:id="52" w:name="_Toc26260034"/>
      <w:bookmarkStart w:id="53" w:name="_Toc69378664"/>
    </w:p>
    <w:p>
      <w:pPr>
        <w:pStyle w:val="67"/>
        <w:ind w:firstLine="482"/>
        <w:rPr>
          <w:rStyle w:val="41"/>
          <w:rFonts w:hAnsi="宋体"/>
          <w:b w:val="0"/>
          <w:bCs w:val="0"/>
          <w:sz w:val="24"/>
          <w:szCs w:val="24"/>
        </w:rPr>
      </w:pPr>
      <w:r>
        <w:rPr>
          <w:rStyle w:val="41"/>
          <w:rFonts w:hint="eastAsia" w:hAnsi="宋体"/>
          <w:sz w:val="24"/>
          <w:szCs w:val="24"/>
        </w:rPr>
        <w:t>附件</w:t>
      </w:r>
      <w:r>
        <w:rPr>
          <w:rStyle w:val="41"/>
          <w:rFonts w:hAnsi="宋体"/>
          <w:sz w:val="24"/>
          <w:szCs w:val="24"/>
        </w:rPr>
        <w:t>2</w:t>
      </w:r>
      <w:r>
        <w:rPr>
          <w:rStyle w:val="41"/>
          <w:rFonts w:hint="eastAsia" w:hAnsi="宋体"/>
          <w:sz w:val="24"/>
          <w:szCs w:val="24"/>
        </w:rPr>
        <w:t>：制造商的授权函和承诺函</w:t>
      </w:r>
      <w:r>
        <w:rPr>
          <w:rStyle w:val="41"/>
          <w:rFonts w:hAnsi="宋体"/>
          <w:sz w:val="24"/>
          <w:szCs w:val="24"/>
        </w:rPr>
        <w:br w:type="page"/>
      </w:r>
    </w:p>
    <w:p>
      <w:pPr>
        <w:pStyle w:val="67"/>
        <w:ind w:firstLine="482"/>
        <w:rPr>
          <w:rStyle w:val="64"/>
          <w:rFonts w:hAnsi="Times New Roman" w:eastAsia="宋体"/>
          <w:bCs/>
          <w:szCs w:val="24"/>
        </w:rPr>
      </w:pPr>
      <w:r>
        <w:rPr>
          <w:rStyle w:val="41"/>
          <w:rFonts w:hint="eastAsia" w:hAnsi="宋体"/>
          <w:sz w:val="24"/>
          <w:szCs w:val="24"/>
        </w:rPr>
        <w:t>附件</w:t>
      </w:r>
      <w:r>
        <w:rPr>
          <w:rStyle w:val="41"/>
          <w:rFonts w:hAnsi="宋体"/>
          <w:sz w:val="24"/>
          <w:szCs w:val="24"/>
        </w:rPr>
        <w:t>3</w:t>
      </w:r>
      <w:r>
        <w:rPr>
          <w:rStyle w:val="41"/>
          <w:rFonts w:hint="eastAsia" w:hAnsi="宋体"/>
          <w:sz w:val="24"/>
          <w:szCs w:val="24"/>
        </w:rPr>
        <w:t>：报价表</w:t>
      </w:r>
      <w:r>
        <w:rPr>
          <w:rStyle w:val="41"/>
          <w:rFonts w:hAnsi="宋体"/>
          <w:sz w:val="24"/>
          <w:szCs w:val="24"/>
        </w:rPr>
        <w:t>(</w:t>
      </w:r>
      <w:r>
        <w:rPr>
          <w:rStyle w:val="41"/>
          <w:rFonts w:hint="eastAsia" w:hAnsi="宋体"/>
          <w:sz w:val="24"/>
          <w:szCs w:val="24"/>
        </w:rPr>
        <w:t>格式</w:t>
      </w:r>
      <w:r>
        <w:rPr>
          <w:rStyle w:val="41"/>
          <w:rFonts w:hAnsi="宋体"/>
          <w:sz w:val="24"/>
          <w:szCs w:val="24"/>
        </w:rPr>
        <w:t>)</w:t>
      </w:r>
      <w:bookmarkEnd w:id="51"/>
      <w:bookmarkEnd w:id="52"/>
      <w:bookmarkEnd w:id="53"/>
    </w:p>
    <w:p>
      <w:pPr>
        <w:spacing w:line="360" w:lineRule="auto"/>
      </w:pPr>
      <w:r>
        <w:t>项目名称：</w:t>
      </w:r>
    </w:p>
    <w:tbl>
      <w:tblPr>
        <w:tblStyle w:val="24"/>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268"/>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22" w:type="dxa"/>
            <w:vAlign w:val="center"/>
          </w:tcPr>
          <w:p>
            <w:pPr>
              <w:jc w:val="center"/>
              <w:rPr>
                <w:rFonts w:ascii="宋体" w:hAnsi="宋体" w:cs="宋体"/>
                <w:b/>
                <w:szCs w:val="21"/>
              </w:rPr>
            </w:pPr>
            <w:r>
              <w:rPr>
                <w:rFonts w:hint="eastAsia" w:ascii="宋体" w:hAnsi="宋体" w:cs="宋体"/>
                <w:b/>
                <w:szCs w:val="21"/>
              </w:rPr>
              <w:t>产品名称</w:t>
            </w:r>
          </w:p>
        </w:tc>
        <w:tc>
          <w:tcPr>
            <w:tcW w:w="2268"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spacing w:before="120"/>
              <w:jc w:val="center"/>
              <w:rPr>
                <w:rFonts w:ascii="宋体" w:hAnsi="宋体" w:cs="宋体"/>
                <w:kern w:val="0"/>
                <w:szCs w:val="21"/>
              </w:rPr>
            </w:pPr>
            <w:r>
              <w:rPr>
                <w:rFonts w:hint="eastAsia" w:ascii="宋体" w:hAnsi="宋体" w:cs="宋体"/>
                <w:kern w:val="0"/>
                <w:szCs w:val="21"/>
              </w:rPr>
              <w:t>电视塔2楼设备搬迁</w:t>
            </w:r>
          </w:p>
        </w:tc>
        <w:tc>
          <w:tcPr>
            <w:tcW w:w="2268" w:type="dxa"/>
            <w:vAlign w:val="center"/>
          </w:tcPr>
          <w:p>
            <w:pPr>
              <w:jc w:val="center"/>
              <w:rPr>
                <w:sz w:val="18"/>
                <w:szCs w:val="18"/>
              </w:rPr>
            </w:pP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spacing w:line="360" w:lineRule="auto"/>
              <w:jc w:val="center"/>
              <w:rPr>
                <w:rFonts w:ascii="宋体" w:hAnsi="宋体" w:cs="宋体"/>
              </w:rPr>
            </w:pPr>
            <w:r>
              <w:rPr>
                <w:rFonts w:hint="eastAsia" w:ascii="宋体" w:hAnsi="宋体" w:cs="宋体"/>
              </w:rPr>
              <w:t>交货期</w:t>
            </w:r>
          </w:p>
        </w:tc>
        <w:tc>
          <w:tcPr>
            <w:tcW w:w="8363"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FF0000"/>
                <w:szCs w:val="21"/>
              </w:rPr>
              <w:t>3</w:t>
            </w:r>
            <w:r>
              <w:rPr>
                <w:rFonts w:ascii="宋体" w:hAnsi="宋体"/>
                <w:color w:val="FF0000"/>
                <w:szCs w:val="21"/>
              </w:rPr>
              <w:t>0</w:t>
            </w:r>
            <w:r>
              <w:rPr>
                <w:rFonts w:hint="eastAsia" w:ascii="宋体" w:hAnsi="宋体"/>
                <w:color w:val="FF0000"/>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spacing w:line="360" w:lineRule="auto"/>
              <w:jc w:val="center"/>
              <w:rPr>
                <w:rFonts w:ascii="宋体" w:hAnsi="宋体" w:cs="宋体"/>
              </w:rPr>
            </w:pPr>
            <w:r>
              <w:rPr>
                <w:rFonts w:hint="eastAsia" w:ascii="宋体" w:hAnsi="宋体" w:cs="宋体"/>
              </w:rPr>
              <w:t>交货地点</w:t>
            </w:r>
          </w:p>
        </w:tc>
        <w:tc>
          <w:tcPr>
            <w:tcW w:w="8363" w:type="dxa"/>
            <w:gridSpan w:val="4"/>
            <w:vAlign w:val="center"/>
          </w:tcPr>
          <w:p>
            <w:pPr>
              <w:spacing w:line="360" w:lineRule="auto"/>
              <w:rPr>
                <w:rFonts w:ascii="宋体" w:hAnsi="宋体"/>
                <w:szCs w:val="21"/>
              </w:rPr>
            </w:pPr>
            <w:r>
              <w:rPr>
                <w:rFonts w:hint="eastAsia" w:ascii="宋体" w:hAnsi="宋体" w:cs="宋体"/>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22" w:type="dxa"/>
            <w:vAlign w:val="center"/>
          </w:tcPr>
          <w:p>
            <w:pPr>
              <w:spacing w:line="360" w:lineRule="auto"/>
              <w:jc w:val="center"/>
              <w:rPr>
                <w:rFonts w:ascii="宋体" w:hAnsi="宋体" w:cs="宋体"/>
              </w:rPr>
            </w:pPr>
            <w:r>
              <w:rPr>
                <w:rFonts w:hint="eastAsia" w:ascii="宋体" w:hAnsi="宋体" w:cs="宋体"/>
              </w:rPr>
              <w:t>免费包修期</w:t>
            </w:r>
          </w:p>
        </w:tc>
        <w:tc>
          <w:tcPr>
            <w:tcW w:w="8363"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363" w:type="dxa"/>
            <w:gridSpan w:val="4"/>
            <w:vAlign w:val="center"/>
          </w:tcPr>
          <w:p>
            <w:pPr>
              <w:spacing w:line="360" w:lineRule="auto"/>
              <w:rPr>
                <w:rFonts w:ascii="宋体" w:hAnsi="宋体" w:cs="宋体"/>
              </w:rPr>
            </w:pPr>
            <w:r>
              <w:rPr>
                <w:rFonts w:hint="eastAsia"/>
                <w:color w:val="000000"/>
              </w:rPr>
              <w:t>竞争性谈判文件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2" w:type="dxa"/>
            <w:vAlign w:val="center"/>
          </w:tcPr>
          <w:p>
            <w:pPr>
              <w:spacing w:line="400" w:lineRule="exact"/>
              <w:jc w:val="center"/>
              <w:rPr>
                <w:rFonts w:ascii="宋体" w:hAnsi="宋体" w:cs="宋体"/>
              </w:rPr>
            </w:pPr>
            <w:r>
              <w:rPr>
                <w:color w:val="000000"/>
              </w:rPr>
              <w:t>包修期满后的服务价格</w:t>
            </w:r>
          </w:p>
        </w:tc>
        <w:tc>
          <w:tcPr>
            <w:tcW w:w="8363" w:type="dxa"/>
            <w:gridSpan w:val="4"/>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22" w:type="dxa"/>
            <w:vAlign w:val="center"/>
          </w:tcPr>
          <w:p>
            <w:pPr>
              <w:jc w:val="center"/>
              <w:rPr>
                <w:rFonts w:ascii="宋体" w:hAnsi="宋体" w:cs="宋体"/>
              </w:rPr>
            </w:pPr>
            <w:r>
              <w:rPr>
                <w:rFonts w:hint="eastAsia" w:ascii="宋体" w:hAnsi="宋体" w:cs="宋体"/>
              </w:rPr>
              <w:t>备注</w:t>
            </w:r>
          </w:p>
        </w:tc>
        <w:tc>
          <w:tcPr>
            <w:tcW w:w="8363"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2.报价时请仔细阅读竞争性谈判文件《竞争性谈判须知》中关于报价的要求。</w:t>
      </w:r>
    </w:p>
    <w:p>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67"/>
        <w:ind w:firstLine="440"/>
        <w:rPr>
          <w:u w:val="single"/>
        </w:rPr>
      </w:pPr>
      <w:r>
        <w:rPr>
          <w:rFonts w:hint="eastAsia"/>
        </w:rPr>
        <w:br w:type="page"/>
      </w:r>
      <w:bookmarkStart w:id="54" w:name="_Toc135999010"/>
      <w:bookmarkStart w:id="55" w:name="_Toc26259742"/>
      <w:bookmarkStart w:id="56" w:name="_Toc26260036"/>
      <w:bookmarkStart w:id="57" w:name="_Toc69378666"/>
      <w:bookmarkStart w:id="58" w:name="_Toc161767431"/>
      <w:bookmarkStart w:id="59" w:name="_Toc69378665"/>
      <w:bookmarkStart w:id="60" w:name="_Toc26259741"/>
      <w:bookmarkStart w:id="61" w:name="_Toc26260035"/>
      <w:r>
        <w:rPr>
          <w:rStyle w:val="41"/>
          <w:rFonts w:hint="eastAsia" w:hAnsi="宋体"/>
          <w:sz w:val="24"/>
          <w:szCs w:val="24"/>
        </w:rPr>
        <w:t>附件</w:t>
      </w:r>
      <w:r>
        <w:rPr>
          <w:rStyle w:val="41"/>
          <w:rFonts w:hAnsi="宋体"/>
          <w:sz w:val="24"/>
          <w:szCs w:val="24"/>
        </w:rPr>
        <w:t>4</w:t>
      </w:r>
      <w:r>
        <w:rPr>
          <w:rStyle w:val="41"/>
          <w:rFonts w:hint="eastAsia" w:hAnsi="宋体"/>
          <w:sz w:val="24"/>
          <w:szCs w:val="24"/>
        </w:rPr>
        <w:t>：商务条款偏离表</w:t>
      </w:r>
      <w:bookmarkEnd w:id="54"/>
      <w:bookmarkEnd w:id="55"/>
      <w:bookmarkEnd w:id="56"/>
      <w:bookmarkEnd w:id="57"/>
      <w:bookmarkEnd w:id="58"/>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41"/>
          <w:rFonts w:hAnsi="宋体"/>
          <w:b w:val="0"/>
          <w:bCs w:val="0"/>
          <w:sz w:val="24"/>
        </w:rPr>
      </w:pPr>
      <w:r>
        <w:rPr>
          <w:rStyle w:val="41"/>
          <w:rFonts w:hAnsi="宋体"/>
          <w:sz w:val="24"/>
        </w:rPr>
        <w:br w:type="page"/>
      </w:r>
    </w:p>
    <w:p>
      <w:pPr>
        <w:pStyle w:val="67"/>
        <w:ind w:firstLine="482"/>
        <w:rPr>
          <w:rFonts w:ascii="黑体"/>
          <w:kern w:val="44"/>
        </w:rPr>
      </w:pPr>
      <w:r>
        <w:rPr>
          <w:rStyle w:val="41"/>
          <w:rFonts w:hint="eastAsia" w:hAnsi="宋体"/>
          <w:sz w:val="24"/>
          <w:szCs w:val="24"/>
        </w:rPr>
        <w:t>附件</w:t>
      </w:r>
      <w:r>
        <w:rPr>
          <w:rStyle w:val="41"/>
          <w:rFonts w:hAnsi="宋体"/>
          <w:sz w:val="24"/>
          <w:szCs w:val="24"/>
        </w:rPr>
        <w:t>5</w:t>
      </w:r>
      <w:r>
        <w:rPr>
          <w:rStyle w:val="41"/>
          <w:rFonts w:hint="eastAsia" w:hAnsi="宋体"/>
          <w:sz w:val="24"/>
          <w:szCs w:val="24"/>
        </w:rPr>
        <w:t>：法定代表人身份证明及授权委托书</w:t>
      </w:r>
      <w:bookmarkEnd w:id="59"/>
      <w:bookmarkEnd w:id="60"/>
      <w:bookmarkEnd w:id="61"/>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67"/>
        <w:ind w:firstLine="440"/>
        <w:rPr>
          <w:rStyle w:val="41"/>
          <w:rFonts w:hAnsi="宋体"/>
          <w:b w:val="0"/>
          <w:bCs w:val="0"/>
          <w:sz w:val="24"/>
          <w:szCs w:val="24"/>
        </w:rPr>
      </w:pPr>
      <w:r>
        <w:br w:type="page"/>
      </w:r>
      <w:bookmarkStart w:id="62" w:name="_Toc26259743"/>
      <w:bookmarkStart w:id="63" w:name="_Toc26260037"/>
      <w:bookmarkStart w:id="64" w:name="_Toc69378667"/>
    </w:p>
    <w:p>
      <w:pPr>
        <w:pStyle w:val="67"/>
        <w:ind w:firstLine="482"/>
        <w:rPr>
          <w:rStyle w:val="41"/>
          <w:bCs w:val="0"/>
          <w:sz w:val="24"/>
          <w:szCs w:val="24"/>
        </w:rPr>
      </w:pPr>
      <w:r>
        <w:rPr>
          <w:rStyle w:val="41"/>
          <w:rFonts w:hint="eastAsia" w:hAnsi="宋体"/>
          <w:sz w:val="24"/>
          <w:szCs w:val="24"/>
        </w:rPr>
        <w:t>附件</w:t>
      </w:r>
      <w:r>
        <w:rPr>
          <w:rStyle w:val="41"/>
          <w:rFonts w:hAnsi="宋体"/>
          <w:sz w:val="24"/>
          <w:szCs w:val="24"/>
        </w:rPr>
        <w:t>6</w:t>
      </w:r>
      <w:r>
        <w:rPr>
          <w:rStyle w:val="41"/>
          <w:rFonts w:hint="eastAsia" w:hAnsi="宋体"/>
          <w:sz w:val="24"/>
          <w:szCs w:val="24"/>
        </w:rPr>
        <w:t>：技术规范偏离表</w:t>
      </w:r>
      <w:bookmarkEnd w:id="62"/>
      <w:bookmarkEnd w:id="63"/>
      <w:bookmarkEnd w:id="64"/>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67"/>
        <w:ind w:firstLine="440"/>
        <w:rPr>
          <w:rStyle w:val="41"/>
          <w:b w:val="0"/>
          <w:sz w:val="24"/>
          <w:szCs w:val="24"/>
        </w:rPr>
      </w:pPr>
      <w:r>
        <w:br w:type="page"/>
      </w:r>
      <w:bookmarkStart w:id="65" w:name="_Toc161767433"/>
      <w:bookmarkStart w:id="66" w:name="_Toc26259744"/>
      <w:bookmarkStart w:id="67" w:name="_Toc69378668"/>
      <w:bookmarkStart w:id="68" w:name="_Toc26260038"/>
      <w:bookmarkStart w:id="69" w:name="_Toc135999012"/>
      <w:r>
        <w:rPr>
          <w:rStyle w:val="41"/>
          <w:rFonts w:hint="eastAsia" w:hAnsi="宋体"/>
          <w:sz w:val="24"/>
          <w:szCs w:val="24"/>
        </w:rPr>
        <w:t>附件</w:t>
      </w:r>
      <w:r>
        <w:rPr>
          <w:rStyle w:val="41"/>
          <w:rFonts w:hAnsi="宋体"/>
          <w:sz w:val="24"/>
          <w:szCs w:val="24"/>
        </w:rPr>
        <w:t>7</w:t>
      </w:r>
      <w:r>
        <w:rPr>
          <w:rStyle w:val="41"/>
          <w:rFonts w:hint="eastAsia" w:hAnsi="宋体"/>
          <w:sz w:val="24"/>
          <w:szCs w:val="24"/>
        </w:rPr>
        <w:t>：资格证明文件</w:t>
      </w:r>
      <w:bookmarkEnd w:id="65"/>
      <w:bookmarkEnd w:id="66"/>
      <w:bookmarkEnd w:id="67"/>
      <w:bookmarkEnd w:id="68"/>
      <w:bookmarkEnd w:id="69"/>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18"/>
        </w:numPr>
        <w:spacing w:line="360" w:lineRule="auto"/>
        <w:rPr>
          <w:rFonts w:ascii="宋体"/>
          <w:szCs w:val="21"/>
        </w:rPr>
      </w:pPr>
      <w:r>
        <w:rPr>
          <w:rFonts w:hint="eastAsia" w:ascii="宋体"/>
          <w:szCs w:val="21"/>
        </w:rPr>
        <w:t>供应商应填写和提交下述规定的全部格式以及其它有关资料。</w:t>
      </w:r>
    </w:p>
    <w:p>
      <w:pPr>
        <w:numPr>
          <w:ilvl w:val="0"/>
          <w:numId w:val="18"/>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8"/>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8"/>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8"/>
        </w:numPr>
        <w:spacing w:line="360" w:lineRule="auto"/>
        <w:rPr>
          <w:rFonts w:ascii="宋体"/>
          <w:szCs w:val="21"/>
        </w:rPr>
      </w:pPr>
      <w:r>
        <w:rPr>
          <w:rFonts w:hint="eastAsia" w:ascii="宋体"/>
          <w:szCs w:val="21"/>
        </w:rPr>
        <w:t>供应商提交的材料将被保密，但不退还。</w:t>
      </w:r>
    </w:p>
    <w:p>
      <w:pPr>
        <w:numPr>
          <w:ilvl w:val="0"/>
          <w:numId w:val="18"/>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9"/>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9"/>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9"/>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0"/>
        </w:numPr>
        <w:spacing w:line="360" w:lineRule="auto"/>
        <w:rPr>
          <w:rFonts w:ascii="宋体" w:hAnsi="宋体"/>
          <w:szCs w:val="21"/>
          <w:u w:val="single"/>
        </w:rPr>
      </w:pPr>
      <w:r>
        <w:rPr>
          <w:rFonts w:hint="eastAsia" w:ascii="宋体" w:hAnsi="宋体"/>
          <w:szCs w:val="21"/>
        </w:rPr>
        <w:t>供应商名称：</w:t>
      </w:r>
    </w:p>
    <w:p>
      <w:pPr>
        <w:numPr>
          <w:ilvl w:val="0"/>
          <w:numId w:val="20"/>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0"/>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0"/>
        </w:numPr>
        <w:spacing w:line="360" w:lineRule="auto"/>
        <w:rPr>
          <w:rFonts w:ascii="宋体" w:hAnsi="宋体"/>
          <w:szCs w:val="21"/>
        </w:rPr>
      </w:pPr>
      <w:r>
        <w:rPr>
          <w:rFonts w:hint="eastAsia" w:ascii="宋体" w:hAnsi="宋体"/>
          <w:szCs w:val="21"/>
        </w:rPr>
        <w:t>实收资本：</w:t>
      </w:r>
    </w:p>
    <w:p>
      <w:pPr>
        <w:numPr>
          <w:ilvl w:val="0"/>
          <w:numId w:val="20"/>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0"/>
        </w:numPr>
        <w:spacing w:line="360" w:lineRule="auto"/>
        <w:rPr>
          <w:rFonts w:ascii="宋体" w:hAnsi="宋体"/>
          <w:szCs w:val="21"/>
          <w:u w:val="single"/>
        </w:rPr>
      </w:pPr>
      <w:r>
        <w:rPr>
          <w:rFonts w:hint="eastAsia" w:ascii="宋体" w:hAnsi="宋体"/>
          <w:szCs w:val="21"/>
        </w:rPr>
        <w:t>主要负责人名称：（可选填）</w:t>
      </w:r>
    </w:p>
    <w:p>
      <w:pPr>
        <w:numPr>
          <w:ilvl w:val="0"/>
          <w:numId w:val="20"/>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0"/>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0"/>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0"/>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67"/>
        <w:ind w:firstLine="440"/>
        <w:rPr>
          <w:rStyle w:val="41"/>
          <w:rFonts w:hAnsi="宋体"/>
          <w:b w:val="0"/>
          <w:bCs w:val="0"/>
          <w:sz w:val="24"/>
          <w:szCs w:val="24"/>
        </w:rPr>
      </w:pPr>
      <w:r>
        <w:rPr>
          <w:u w:val="single"/>
        </w:rPr>
        <w:br w:type="page"/>
      </w:r>
      <w:bookmarkStart w:id="70" w:name="_Toc26259745"/>
      <w:bookmarkStart w:id="71" w:name="_Toc26260039"/>
      <w:bookmarkStart w:id="72" w:name="_Toc69378669"/>
      <w:r>
        <w:rPr>
          <w:rStyle w:val="41"/>
          <w:rFonts w:hint="eastAsia" w:hAnsi="宋体"/>
          <w:sz w:val="24"/>
          <w:szCs w:val="24"/>
        </w:rPr>
        <w:t>附件</w:t>
      </w:r>
      <w:r>
        <w:rPr>
          <w:rStyle w:val="41"/>
          <w:rFonts w:hAnsi="宋体"/>
          <w:sz w:val="24"/>
          <w:szCs w:val="24"/>
        </w:rPr>
        <w:t>8</w:t>
      </w:r>
      <w:r>
        <w:rPr>
          <w:rStyle w:val="41"/>
          <w:rFonts w:hint="eastAsia" w:hAnsi="宋体"/>
          <w:sz w:val="24"/>
          <w:szCs w:val="24"/>
        </w:rPr>
        <w:t>：项目业绩及证明文件</w:t>
      </w:r>
      <w:bookmarkEnd w:id="70"/>
      <w:bookmarkEnd w:id="71"/>
      <w:bookmarkEnd w:id="72"/>
    </w:p>
    <w:tbl>
      <w:tblPr>
        <w:tblStyle w:val="24"/>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41"/>
          <w:b w:val="0"/>
          <w:bCs w:val="0"/>
        </w:rPr>
      </w:pPr>
      <w:r>
        <w:t>2</w:t>
      </w:r>
      <w:r>
        <w:rPr>
          <w:rFonts w:hint="eastAsia"/>
        </w:rPr>
        <w:t>．供应商需按照表格的顺序装订合同复印件，合同装订顺序须与表中所列项目顺序一致。</w:t>
      </w:r>
      <w:bookmarkEnd w:id="48"/>
      <w:bookmarkEnd w:id="49"/>
      <w:bookmarkEnd w:id="50"/>
    </w:p>
    <w:p>
      <w:pPr>
        <w:widowControl/>
        <w:jc w:val="left"/>
      </w:pPr>
      <w:r>
        <w:br w:type="page"/>
      </w:r>
    </w:p>
    <w:p>
      <w:pPr>
        <w:pStyle w:val="3"/>
        <w:spacing w:line="360" w:lineRule="auto"/>
        <w:rPr>
          <w:color w:val="000000"/>
          <w:sz w:val="52"/>
          <w:szCs w:val="52"/>
        </w:rPr>
      </w:pPr>
      <w:bookmarkStart w:id="73" w:name="_Toc166247625"/>
      <w:bookmarkStart w:id="74" w:name="_Toc15291"/>
      <w:bookmarkStart w:id="75" w:name="_Toc82869835"/>
      <w:bookmarkStart w:id="76" w:name="_Toc98431805"/>
      <w:r>
        <w:rPr>
          <w:rFonts w:hint="eastAsia"/>
          <w:sz w:val="36"/>
          <w:szCs w:val="36"/>
        </w:rPr>
        <w:t>第七章  其他</w:t>
      </w:r>
      <w:bookmarkEnd w:id="73"/>
      <w:bookmarkEnd w:id="74"/>
      <w:bookmarkEnd w:id="75"/>
      <w:bookmarkEnd w:id="76"/>
    </w:p>
    <w:p>
      <w:pPr>
        <w:widowControl/>
        <w:jc w:val="left"/>
        <w:rPr>
          <w:b/>
          <w:sz w:val="24"/>
        </w:rPr>
      </w:pPr>
      <w:bookmarkStart w:id="77"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77"/>
    </w:p>
    <w:tbl>
      <w:tblPr>
        <w:tblStyle w:val="2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spacing w:before="312" w:beforeLines="100" w:after="312" w:afterLines="100"/>
              <w:jc w:val="center"/>
              <w:rPr>
                <w:rFonts w:eastAsia="黑体"/>
                <w:color w:val="000000"/>
                <w:sz w:val="28"/>
                <w:szCs w:val="28"/>
              </w:rPr>
            </w:pPr>
          </w:p>
          <w:p>
            <w:pPr>
              <w:pStyle w:val="2"/>
              <w:spacing w:before="312" w:beforeLines="100" w:after="312" w:afterLines="100"/>
              <w:jc w:val="center"/>
              <w:rPr>
                <w:color w:val="000000"/>
                <w:szCs w:val="28"/>
              </w:rPr>
            </w:pPr>
          </w:p>
          <w:p>
            <w:pPr>
              <w:pStyle w:val="2"/>
            </w:pPr>
          </w:p>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2"/>
              <w:spacing w:before="312" w:beforeLines="100" w:after="312" w:afterLines="100"/>
              <w:jc w:val="center"/>
              <w:rPr>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Style w:val="2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jc w:val="center"/>
              <w:rPr>
                <w:rFonts w:eastAsia="黑体"/>
                <w:color w:val="000000"/>
                <w:sz w:val="28"/>
                <w:szCs w:val="28"/>
              </w:rPr>
            </w:pPr>
          </w:p>
          <w:p>
            <w:pPr>
              <w:pStyle w:val="2"/>
              <w:jc w:val="center"/>
              <w:rPr>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
      <w:pPr>
        <w:pStyle w:val="2"/>
        <w:jc w:val="center"/>
      </w:pPr>
      <w:r>
        <w:br w:type="page"/>
      </w:r>
    </w:p>
    <w:p>
      <w:pPr>
        <w:pStyle w:val="67"/>
        <w:ind w:firstLine="600"/>
        <w:jc w:val="center"/>
        <w:rPr>
          <w:b/>
          <w:sz w:val="30"/>
          <w:szCs w:val="30"/>
        </w:rPr>
      </w:pPr>
      <w:r>
        <w:rPr>
          <w:rFonts w:hint="eastAsia"/>
          <w:sz w:val="30"/>
          <w:szCs w:val="30"/>
        </w:rPr>
        <w:t>响应确认信息表</w:t>
      </w:r>
    </w:p>
    <w:p>
      <w:pPr>
        <w:pStyle w:val="67"/>
        <w:ind w:firstLine="600"/>
        <w:rPr>
          <w:rFonts w:ascii="Arial" w:hAnsi="Arial" w:eastAsia="黑体"/>
          <w:bCs/>
          <w:sz w:val="30"/>
          <w:szCs w:val="30"/>
        </w:rPr>
      </w:pPr>
    </w:p>
    <w:p>
      <w:pPr>
        <w:pStyle w:val="67"/>
        <w:ind w:firstLine="600"/>
        <w:rPr>
          <w:sz w:val="30"/>
          <w:szCs w:val="30"/>
        </w:rPr>
      </w:pPr>
      <w:r>
        <w:rPr>
          <w:rFonts w:hint="eastAsia"/>
          <w:sz w:val="30"/>
          <w:szCs w:val="30"/>
        </w:rPr>
        <w:t>江苏省广电有线信息网络股份有限公司：</w:t>
      </w:r>
    </w:p>
    <w:p>
      <w:pPr>
        <w:pStyle w:val="67"/>
        <w:ind w:firstLine="600"/>
        <w:rPr>
          <w:sz w:val="30"/>
          <w:szCs w:val="30"/>
        </w:rPr>
      </w:pPr>
      <w:r>
        <w:rPr>
          <w:rFonts w:hint="eastAsia"/>
          <w:sz w:val="30"/>
          <w:szCs w:val="30"/>
        </w:rPr>
        <w:t xml:space="preserve">    我单位申请参与贵单位</w:t>
      </w:r>
      <w:r>
        <w:rPr>
          <w:rFonts w:hint="eastAsia"/>
          <w:sz w:val="30"/>
          <w:szCs w:val="30"/>
          <w:u w:val="single"/>
        </w:rPr>
        <w:t xml:space="preserve">              </w:t>
      </w:r>
      <w:r>
        <w:rPr>
          <w:rFonts w:hint="eastAsia"/>
          <w:sz w:val="30"/>
          <w:szCs w:val="30"/>
        </w:rPr>
        <w:t>项目。</w:t>
      </w:r>
    </w:p>
    <w:p>
      <w:pPr>
        <w:pStyle w:val="67"/>
        <w:ind w:firstLine="600"/>
        <w:rPr>
          <w:sz w:val="30"/>
          <w:szCs w:val="30"/>
        </w:rPr>
      </w:pPr>
      <w:r>
        <w:rPr>
          <w:rFonts w:hint="eastAsia"/>
          <w:sz w:val="30"/>
          <w:szCs w:val="30"/>
        </w:rPr>
        <w:t>现委派我单位</w:t>
      </w:r>
      <w:r>
        <w:rPr>
          <w:rFonts w:hint="eastAsia"/>
          <w:sz w:val="30"/>
          <w:szCs w:val="30"/>
          <w:u w:val="single"/>
        </w:rPr>
        <w:t xml:space="preserve">      (</w:t>
      </w:r>
      <w:r>
        <w:rPr>
          <w:rFonts w:hint="eastAsia"/>
          <w:sz w:val="30"/>
          <w:szCs w:val="30"/>
        </w:rPr>
        <w:t>姓名</w:t>
      </w:r>
      <w:r>
        <w:rPr>
          <w:rFonts w:hint="eastAsia"/>
          <w:sz w:val="30"/>
          <w:szCs w:val="30"/>
          <w:u w:val="single"/>
        </w:rPr>
        <w:t>)</w:t>
      </w:r>
      <w:r>
        <w:rPr>
          <w:rFonts w:hint="eastAsia"/>
          <w:sz w:val="30"/>
          <w:szCs w:val="30"/>
        </w:rPr>
        <w:t>负责本项目报名和正式采购前的联系工作，详细信息如下（以下信息均为必填项）：</w:t>
      </w:r>
    </w:p>
    <w:p>
      <w:pPr>
        <w:pStyle w:val="67"/>
        <w:ind w:firstLine="600"/>
        <w:rPr>
          <w:sz w:val="30"/>
          <w:szCs w:val="30"/>
        </w:rPr>
      </w:pPr>
      <w:r>
        <w:rPr>
          <w:rFonts w:hint="eastAsia"/>
          <w:sz w:val="30"/>
          <w:szCs w:val="30"/>
        </w:rPr>
        <w:t xml:space="preserve"> 1.姓名：</w:t>
      </w:r>
    </w:p>
    <w:p>
      <w:pPr>
        <w:pStyle w:val="67"/>
        <w:ind w:firstLine="600"/>
        <w:rPr>
          <w:sz w:val="30"/>
          <w:szCs w:val="30"/>
        </w:rPr>
      </w:pPr>
      <w:r>
        <w:rPr>
          <w:rFonts w:hint="eastAsia"/>
          <w:sz w:val="30"/>
          <w:szCs w:val="30"/>
        </w:rPr>
        <w:t xml:space="preserve"> 2.身份证号：</w:t>
      </w:r>
    </w:p>
    <w:p>
      <w:pPr>
        <w:pStyle w:val="67"/>
        <w:ind w:firstLine="600"/>
        <w:rPr>
          <w:sz w:val="30"/>
          <w:szCs w:val="30"/>
        </w:rPr>
      </w:pPr>
      <w:r>
        <w:rPr>
          <w:rFonts w:hint="eastAsia"/>
          <w:sz w:val="30"/>
          <w:szCs w:val="30"/>
        </w:rPr>
        <w:t xml:space="preserve"> 3.职位：</w:t>
      </w:r>
    </w:p>
    <w:p>
      <w:pPr>
        <w:pStyle w:val="67"/>
        <w:ind w:firstLine="600"/>
        <w:rPr>
          <w:sz w:val="30"/>
          <w:szCs w:val="30"/>
        </w:rPr>
      </w:pPr>
      <w:r>
        <w:rPr>
          <w:rFonts w:hint="eastAsia"/>
          <w:sz w:val="30"/>
          <w:szCs w:val="30"/>
        </w:rPr>
        <w:t xml:space="preserve"> 4.联系电话（手机）：</w:t>
      </w:r>
    </w:p>
    <w:p>
      <w:pPr>
        <w:pStyle w:val="67"/>
        <w:ind w:firstLine="600"/>
        <w:rPr>
          <w:sz w:val="30"/>
          <w:szCs w:val="30"/>
        </w:rPr>
      </w:pPr>
      <w:r>
        <w:rPr>
          <w:rFonts w:hint="eastAsia"/>
          <w:sz w:val="30"/>
          <w:szCs w:val="30"/>
        </w:rPr>
        <w:t xml:space="preserve"> 5.联系电子邮箱：</w:t>
      </w:r>
    </w:p>
    <w:p>
      <w:pPr>
        <w:pStyle w:val="67"/>
        <w:ind w:firstLine="600"/>
        <w:rPr>
          <w:sz w:val="30"/>
          <w:szCs w:val="30"/>
        </w:rPr>
      </w:pPr>
      <w:r>
        <w:rPr>
          <w:rFonts w:hint="eastAsia"/>
          <w:sz w:val="30"/>
          <w:szCs w:val="30"/>
        </w:rPr>
        <w:t xml:space="preserve"> 6.微信号:</w:t>
      </w:r>
    </w:p>
    <w:p>
      <w:pPr>
        <w:pStyle w:val="67"/>
        <w:ind w:firstLine="600"/>
        <w:rPr>
          <w:sz w:val="30"/>
          <w:szCs w:val="30"/>
        </w:rPr>
      </w:pPr>
      <w:r>
        <w:rPr>
          <w:rFonts w:hint="eastAsia"/>
          <w:sz w:val="30"/>
          <w:szCs w:val="30"/>
        </w:rPr>
        <w:t xml:space="preserve"> 7.响应文件递送方式：</w:t>
      </w:r>
    </w:p>
    <w:p>
      <w:pPr>
        <w:pStyle w:val="67"/>
        <w:ind w:firstLine="600"/>
        <w:rPr>
          <w:sz w:val="30"/>
          <w:szCs w:val="30"/>
        </w:rPr>
      </w:pPr>
    </w:p>
    <w:p>
      <w:pPr>
        <w:pStyle w:val="67"/>
        <w:ind w:firstLine="600"/>
        <w:rPr>
          <w:sz w:val="30"/>
          <w:szCs w:val="30"/>
        </w:rPr>
      </w:pPr>
    </w:p>
    <w:p>
      <w:pPr>
        <w:pStyle w:val="67"/>
        <w:ind w:firstLine="600"/>
        <w:rPr>
          <w:sz w:val="30"/>
          <w:szCs w:val="30"/>
        </w:rPr>
      </w:pPr>
    </w:p>
    <w:p>
      <w:pPr>
        <w:pStyle w:val="67"/>
        <w:ind w:firstLine="600"/>
        <w:rPr>
          <w:sz w:val="30"/>
          <w:szCs w:val="30"/>
        </w:rPr>
      </w:pPr>
      <w:r>
        <w:rPr>
          <w:rFonts w:hint="eastAsia"/>
          <w:sz w:val="30"/>
          <w:szCs w:val="30"/>
        </w:rPr>
        <w:t>供应商：</w:t>
      </w:r>
      <w:r>
        <w:rPr>
          <w:rFonts w:hint="eastAsia"/>
          <w:sz w:val="30"/>
          <w:szCs w:val="30"/>
          <w:u w:val="single"/>
        </w:rPr>
        <w:t xml:space="preserve">                     </w:t>
      </w:r>
      <w:r>
        <w:rPr>
          <w:rFonts w:hint="eastAsia"/>
          <w:sz w:val="30"/>
          <w:szCs w:val="30"/>
        </w:rPr>
        <w:t>（盖章）</w:t>
      </w:r>
    </w:p>
    <w:p>
      <w:pPr>
        <w:pStyle w:val="67"/>
        <w:ind w:firstLine="600"/>
        <w:rPr>
          <w:sz w:val="30"/>
          <w:szCs w:val="30"/>
        </w:rPr>
      </w:pPr>
      <w:r>
        <w:rPr>
          <w:rFonts w:hint="eastAsia"/>
          <w:sz w:val="30"/>
          <w:szCs w:val="30"/>
        </w:rPr>
        <w:t>日期：</w:t>
      </w:r>
    </w:p>
    <w:p>
      <w:pPr>
        <w:pStyle w:val="22"/>
        <w:ind w:firstLine="210"/>
        <w:rPr>
          <w:rFonts w:ascii="宋体" w:hAnsi="宋体"/>
          <w:sz w:val="32"/>
          <w:szCs w:val="32"/>
          <w:u w:val="single"/>
        </w:rPr>
      </w:pPr>
      <w:r>
        <w:rPr>
          <w:rFonts w:hint="eastAsia"/>
        </w:rPr>
        <w:t xml:space="preserve">  </w:t>
      </w:r>
    </w:p>
    <w:p>
      <w:r>
        <w:rPr>
          <w:rFonts w:hint="eastAsia" w:ascii="宋体" w:hAnsi="宋体"/>
          <w:sz w:val="32"/>
          <w:szCs w:val="32"/>
          <w:u w:val="single"/>
        </w:rPr>
        <w:t xml:space="preserve"> </w:t>
      </w:r>
    </w:p>
    <w:p>
      <w:pPr>
        <w:jc w:val="cente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22A7E"/>
    <w:multiLevelType w:val="singleLevel"/>
    <w:tmpl w:val="9FB22A7E"/>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9"/>
    <w:multiLevelType w:val="multilevel"/>
    <w:tmpl w:val="00000009"/>
    <w:lvl w:ilvl="0" w:tentative="0">
      <w:start w:val="1"/>
      <w:numFmt w:val="decimal"/>
      <w:suff w:val="space"/>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A"/>
    <w:multiLevelType w:val="multilevel"/>
    <w:tmpl w:val="0000000A"/>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B"/>
    <w:multiLevelType w:val="multilevel"/>
    <w:tmpl w:val="0000000B"/>
    <w:lvl w:ilvl="0" w:tentative="0">
      <w:start w:val="1"/>
      <w:numFmt w:val="decimal"/>
      <w:lvlText w:val="%1）"/>
      <w:lvlJc w:val="left"/>
      <w:pPr>
        <w:ind w:left="840" w:hanging="420"/>
      </w:pPr>
      <w:rPr>
        <w:rFonts w:hint="default"/>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D"/>
    <w:multiLevelType w:val="multilevel"/>
    <w:tmpl w:val="0000000D"/>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F"/>
    <w:multiLevelType w:val="multilevel"/>
    <w:tmpl w:val="0000000F"/>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10"/>
    <w:multiLevelType w:val="multilevel"/>
    <w:tmpl w:val="00000010"/>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4"/>
    <w:multiLevelType w:val="multilevel"/>
    <w:tmpl w:val="00000014"/>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7"/>
    <w:multiLevelType w:val="multilevel"/>
    <w:tmpl w:val="00000017"/>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18"/>
    <w:multiLevelType w:val="multilevel"/>
    <w:tmpl w:val="00000018"/>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000001B"/>
    <w:multiLevelType w:val="multilevel"/>
    <w:tmpl w:val="0000001B"/>
    <w:lvl w:ilvl="0" w:tentative="0">
      <w:start w:val="1"/>
      <w:numFmt w:val="decimal"/>
      <w:lvlText w:val="%1)"/>
      <w:lvlJc w:val="left"/>
      <w:pPr>
        <w:ind w:left="1260" w:hanging="420"/>
      </w:pPr>
      <w:rPr>
        <w:rFonts w:hint="eastAsia"/>
      </w:r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19E328B"/>
    <w:multiLevelType w:val="multilevel"/>
    <w:tmpl w:val="019E328B"/>
    <w:lvl w:ilvl="0" w:tentative="0">
      <w:start w:val="1"/>
      <w:numFmt w:val="decimal"/>
      <w:lvlText w:val="(%1)."/>
      <w:lvlJc w:val="left"/>
      <w:pPr>
        <w:ind w:left="889" w:hanging="440"/>
      </w:pPr>
      <w:rPr>
        <w:rFonts w:hint="eastAsia"/>
      </w:rPr>
    </w:lvl>
    <w:lvl w:ilvl="1" w:tentative="0">
      <w:start w:val="1"/>
      <w:numFmt w:val="lowerLetter"/>
      <w:lvlText w:val="%2)"/>
      <w:lvlJc w:val="left"/>
      <w:pPr>
        <w:ind w:left="1329" w:hanging="440"/>
      </w:pPr>
    </w:lvl>
    <w:lvl w:ilvl="2" w:tentative="0">
      <w:start w:val="1"/>
      <w:numFmt w:val="lowerRoman"/>
      <w:lvlText w:val="%3."/>
      <w:lvlJc w:val="right"/>
      <w:pPr>
        <w:ind w:left="1769" w:hanging="440"/>
      </w:pPr>
    </w:lvl>
    <w:lvl w:ilvl="3" w:tentative="0">
      <w:start w:val="1"/>
      <w:numFmt w:val="decimal"/>
      <w:lvlText w:val="%4."/>
      <w:lvlJc w:val="left"/>
      <w:pPr>
        <w:ind w:left="2209" w:hanging="440"/>
      </w:pPr>
    </w:lvl>
    <w:lvl w:ilvl="4" w:tentative="0">
      <w:start w:val="1"/>
      <w:numFmt w:val="lowerLetter"/>
      <w:lvlText w:val="%5)"/>
      <w:lvlJc w:val="left"/>
      <w:pPr>
        <w:ind w:left="2649" w:hanging="440"/>
      </w:pPr>
    </w:lvl>
    <w:lvl w:ilvl="5" w:tentative="0">
      <w:start w:val="1"/>
      <w:numFmt w:val="lowerRoman"/>
      <w:lvlText w:val="%6."/>
      <w:lvlJc w:val="right"/>
      <w:pPr>
        <w:ind w:left="3089" w:hanging="440"/>
      </w:pPr>
    </w:lvl>
    <w:lvl w:ilvl="6" w:tentative="0">
      <w:start w:val="1"/>
      <w:numFmt w:val="decimal"/>
      <w:lvlText w:val="%7."/>
      <w:lvlJc w:val="left"/>
      <w:pPr>
        <w:ind w:left="3529" w:hanging="440"/>
      </w:pPr>
    </w:lvl>
    <w:lvl w:ilvl="7" w:tentative="0">
      <w:start w:val="1"/>
      <w:numFmt w:val="lowerLetter"/>
      <w:lvlText w:val="%8)"/>
      <w:lvlJc w:val="left"/>
      <w:pPr>
        <w:ind w:left="3969" w:hanging="440"/>
      </w:pPr>
    </w:lvl>
    <w:lvl w:ilvl="8" w:tentative="0">
      <w:start w:val="1"/>
      <w:numFmt w:val="lowerRoman"/>
      <w:lvlText w:val="%9."/>
      <w:lvlJc w:val="right"/>
      <w:pPr>
        <w:ind w:left="4409" w:hanging="440"/>
      </w:pPr>
    </w:lvl>
  </w:abstractNum>
  <w:abstractNum w:abstractNumId="1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1F566137"/>
    <w:multiLevelType w:val="multilevel"/>
    <w:tmpl w:val="1F566137"/>
    <w:lvl w:ilvl="0" w:tentative="0">
      <w:start w:val="1"/>
      <w:numFmt w:val="decimal"/>
      <w:lvlText w:val="%1."/>
      <w:lvlJc w:val="left"/>
      <w:pPr>
        <w:tabs>
          <w:tab w:val="left" w:pos="690"/>
        </w:tabs>
        <w:ind w:left="690" w:hanging="360"/>
      </w:pPr>
      <w:rPr>
        <w:rFonts w:hint="eastAsia"/>
      </w:rPr>
    </w:lvl>
    <w:lvl w:ilvl="1" w:tentative="0">
      <w:start w:val="1"/>
      <w:numFmt w:val="decimal"/>
      <w:lvlText w:val="（%2）"/>
      <w:lvlJc w:val="left"/>
      <w:pPr>
        <w:tabs>
          <w:tab w:val="left" w:pos="1095"/>
        </w:tabs>
        <w:ind w:left="1095" w:hanging="735"/>
      </w:pPr>
      <w:rPr>
        <w:rFonts w:hint="eastAsia"/>
      </w:rPr>
    </w:lvl>
    <w:lvl w:ilvl="2" w:tentative="0">
      <w:start w:val="1"/>
      <w:numFmt w:val="japaneseCounting"/>
      <w:lvlText w:val="（%3）"/>
      <w:lvlJc w:val="left"/>
      <w:pPr>
        <w:ind w:left="1890" w:hanging="720"/>
      </w:pPr>
      <w:rPr>
        <w:rFonts w:hint="default"/>
      </w:r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16">
    <w:nsid w:val="3B045175"/>
    <w:multiLevelType w:val="multilevel"/>
    <w:tmpl w:val="3B045175"/>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
    <w:nsid w:val="488906B1"/>
    <w:multiLevelType w:val="multilevel"/>
    <w:tmpl w:val="488906B1"/>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
    <w:nsid w:val="570929CE"/>
    <w:multiLevelType w:val="multilevel"/>
    <w:tmpl w:val="570929C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17"/>
  </w:num>
  <w:num w:numId="3">
    <w:abstractNumId w:val="18"/>
  </w:num>
  <w:num w:numId="4">
    <w:abstractNumId w:val="12"/>
  </w:num>
  <w:num w:numId="5">
    <w:abstractNumId w:val="16"/>
  </w:num>
  <w:num w:numId="6">
    <w:abstractNumId w:val="15"/>
  </w:num>
  <w:num w:numId="7">
    <w:abstractNumId w:val="0"/>
  </w:num>
  <w:num w:numId="8">
    <w:abstractNumId w:val="2"/>
  </w:num>
  <w:num w:numId="9">
    <w:abstractNumId w:val="5"/>
  </w:num>
  <w:num w:numId="10">
    <w:abstractNumId w:val="9"/>
  </w:num>
  <w:num w:numId="11">
    <w:abstractNumId w:val="6"/>
  </w:num>
  <w:num w:numId="12">
    <w:abstractNumId w:val="10"/>
  </w:num>
  <w:num w:numId="13">
    <w:abstractNumId w:val="3"/>
  </w:num>
  <w:num w:numId="14">
    <w:abstractNumId w:val="8"/>
  </w:num>
  <w:num w:numId="15">
    <w:abstractNumId w:val="7"/>
  </w:num>
  <w:num w:numId="16">
    <w:abstractNumId w:val="11"/>
  </w:num>
  <w:num w:numId="17">
    <w:abstractNumId w:val="4"/>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D908DB"/>
    <w:rsid w:val="0000008B"/>
    <w:rsid w:val="0000008C"/>
    <w:rsid w:val="00004DA8"/>
    <w:rsid w:val="0001318B"/>
    <w:rsid w:val="00027494"/>
    <w:rsid w:val="00030F03"/>
    <w:rsid w:val="00035006"/>
    <w:rsid w:val="00041AFF"/>
    <w:rsid w:val="00042001"/>
    <w:rsid w:val="00042C76"/>
    <w:rsid w:val="0005044B"/>
    <w:rsid w:val="00055624"/>
    <w:rsid w:val="000609DA"/>
    <w:rsid w:val="00062E60"/>
    <w:rsid w:val="00062F63"/>
    <w:rsid w:val="000706C3"/>
    <w:rsid w:val="0007387C"/>
    <w:rsid w:val="00073FE3"/>
    <w:rsid w:val="000773D5"/>
    <w:rsid w:val="000845B8"/>
    <w:rsid w:val="00087516"/>
    <w:rsid w:val="000942A4"/>
    <w:rsid w:val="00095632"/>
    <w:rsid w:val="000979B9"/>
    <w:rsid w:val="000A2999"/>
    <w:rsid w:val="000A56D8"/>
    <w:rsid w:val="000A6297"/>
    <w:rsid w:val="000B0F2D"/>
    <w:rsid w:val="000B3262"/>
    <w:rsid w:val="000B4860"/>
    <w:rsid w:val="000B69F7"/>
    <w:rsid w:val="000C0686"/>
    <w:rsid w:val="000C1B37"/>
    <w:rsid w:val="000C22A4"/>
    <w:rsid w:val="000D5FA7"/>
    <w:rsid w:val="000D6EFC"/>
    <w:rsid w:val="000D7B6D"/>
    <w:rsid w:val="000E3039"/>
    <w:rsid w:val="000E3C62"/>
    <w:rsid w:val="000F77C3"/>
    <w:rsid w:val="001043C3"/>
    <w:rsid w:val="00105B7E"/>
    <w:rsid w:val="00110CD9"/>
    <w:rsid w:val="001118B7"/>
    <w:rsid w:val="00111A90"/>
    <w:rsid w:val="0011271D"/>
    <w:rsid w:val="00116B59"/>
    <w:rsid w:val="00121C03"/>
    <w:rsid w:val="0013097B"/>
    <w:rsid w:val="00132B74"/>
    <w:rsid w:val="001339F0"/>
    <w:rsid w:val="00135FF3"/>
    <w:rsid w:val="00136047"/>
    <w:rsid w:val="0013657D"/>
    <w:rsid w:val="001377E9"/>
    <w:rsid w:val="00140DFF"/>
    <w:rsid w:val="00142B14"/>
    <w:rsid w:val="00145889"/>
    <w:rsid w:val="00147681"/>
    <w:rsid w:val="00147882"/>
    <w:rsid w:val="001517F2"/>
    <w:rsid w:val="00152913"/>
    <w:rsid w:val="001607D3"/>
    <w:rsid w:val="00162D61"/>
    <w:rsid w:val="00164066"/>
    <w:rsid w:val="00171BCC"/>
    <w:rsid w:val="001736C7"/>
    <w:rsid w:val="0017590B"/>
    <w:rsid w:val="00177756"/>
    <w:rsid w:val="0018434A"/>
    <w:rsid w:val="0018488A"/>
    <w:rsid w:val="00185174"/>
    <w:rsid w:val="001859C2"/>
    <w:rsid w:val="0019049F"/>
    <w:rsid w:val="00196153"/>
    <w:rsid w:val="001A4F82"/>
    <w:rsid w:val="001C119E"/>
    <w:rsid w:val="001C4428"/>
    <w:rsid w:val="001C4DE4"/>
    <w:rsid w:val="001C6AF1"/>
    <w:rsid w:val="001E0425"/>
    <w:rsid w:val="001E0451"/>
    <w:rsid w:val="001E340C"/>
    <w:rsid w:val="001E722A"/>
    <w:rsid w:val="001F2B23"/>
    <w:rsid w:val="001F4281"/>
    <w:rsid w:val="001F66EA"/>
    <w:rsid w:val="00200F40"/>
    <w:rsid w:val="002036ED"/>
    <w:rsid w:val="00207F9A"/>
    <w:rsid w:val="00210AD0"/>
    <w:rsid w:val="00211797"/>
    <w:rsid w:val="00213D6A"/>
    <w:rsid w:val="002152AA"/>
    <w:rsid w:val="0022335F"/>
    <w:rsid w:val="0023514F"/>
    <w:rsid w:val="0023602E"/>
    <w:rsid w:val="00242494"/>
    <w:rsid w:val="00242803"/>
    <w:rsid w:val="0026635E"/>
    <w:rsid w:val="00271D6B"/>
    <w:rsid w:val="002763AB"/>
    <w:rsid w:val="002834AF"/>
    <w:rsid w:val="002843C7"/>
    <w:rsid w:val="002928A2"/>
    <w:rsid w:val="00295EA7"/>
    <w:rsid w:val="002A1EC3"/>
    <w:rsid w:val="002A47D6"/>
    <w:rsid w:val="002A610A"/>
    <w:rsid w:val="002B46A7"/>
    <w:rsid w:val="002B5C1C"/>
    <w:rsid w:val="002B68C5"/>
    <w:rsid w:val="002C4C0A"/>
    <w:rsid w:val="002C6C8E"/>
    <w:rsid w:val="002C7388"/>
    <w:rsid w:val="002D21A9"/>
    <w:rsid w:val="002E2856"/>
    <w:rsid w:val="002E3252"/>
    <w:rsid w:val="002E6513"/>
    <w:rsid w:val="002F04A8"/>
    <w:rsid w:val="002F17D5"/>
    <w:rsid w:val="002F41B6"/>
    <w:rsid w:val="003029DB"/>
    <w:rsid w:val="00303E20"/>
    <w:rsid w:val="00304A31"/>
    <w:rsid w:val="003064B3"/>
    <w:rsid w:val="00311D58"/>
    <w:rsid w:val="00312862"/>
    <w:rsid w:val="00315643"/>
    <w:rsid w:val="00323EF5"/>
    <w:rsid w:val="003341BE"/>
    <w:rsid w:val="00343405"/>
    <w:rsid w:val="00344092"/>
    <w:rsid w:val="00344253"/>
    <w:rsid w:val="0034501C"/>
    <w:rsid w:val="003535B1"/>
    <w:rsid w:val="00356751"/>
    <w:rsid w:val="003604AE"/>
    <w:rsid w:val="003617DC"/>
    <w:rsid w:val="00362A6B"/>
    <w:rsid w:val="00363059"/>
    <w:rsid w:val="0036381E"/>
    <w:rsid w:val="00367B7E"/>
    <w:rsid w:val="00367D99"/>
    <w:rsid w:val="00370375"/>
    <w:rsid w:val="00370CAA"/>
    <w:rsid w:val="00375E49"/>
    <w:rsid w:val="003776B3"/>
    <w:rsid w:val="00385577"/>
    <w:rsid w:val="00391EE4"/>
    <w:rsid w:val="00393A9E"/>
    <w:rsid w:val="00397110"/>
    <w:rsid w:val="003A01E3"/>
    <w:rsid w:val="003A1FA8"/>
    <w:rsid w:val="003A2696"/>
    <w:rsid w:val="003A7A44"/>
    <w:rsid w:val="003A7A7C"/>
    <w:rsid w:val="003B0106"/>
    <w:rsid w:val="003B3B91"/>
    <w:rsid w:val="003B3DE0"/>
    <w:rsid w:val="003B4F83"/>
    <w:rsid w:val="003B60B8"/>
    <w:rsid w:val="003C0218"/>
    <w:rsid w:val="003C4639"/>
    <w:rsid w:val="003C6678"/>
    <w:rsid w:val="003D1630"/>
    <w:rsid w:val="003D38A2"/>
    <w:rsid w:val="003D48F1"/>
    <w:rsid w:val="003D75F6"/>
    <w:rsid w:val="003E3A7E"/>
    <w:rsid w:val="003E3D2F"/>
    <w:rsid w:val="003E50E7"/>
    <w:rsid w:val="003F0DC4"/>
    <w:rsid w:val="003F1070"/>
    <w:rsid w:val="003F4F50"/>
    <w:rsid w:val="003F768E"/>
    <w:rsid w:val="003F7DE2"/>
    <w:rsid w:val="00404D7D"/>
    <w:rsid w:val="00413CAE"/>
    <w:rsid w:val="0041510B"/>
    <w:rsid w:val="00415A88"/>
    <w:rsid w:val="0041756C"/>
    <w:rsid w:val="0042109B"/>
    <w:rsid w:val="0043143A"/>
    <w:rsid w:val="00431BD9"/>
    <w:rsid w:val="00436C0A"/>
    <w:rsid w:val="00446C4F"/>
    <w:rsid w:val="004504F9"/>
    <w:rsid w:val="004516E3"/>
    <w:rsid w:val="0045193C"/>
    <w:rsid w:val="00452542"/>
    <w:rsid w:val="00455773"/>
    <w:rsid w:val="004632F4"/>
    <w:rsid w:val="00463339"/>
    <w:rsid w:val="0046437B"/>
    <w:rsid w:val="00465256"/>
    <w:rsid w:val="004700BB"/>
    <w:rsid w:val="00472C95"/>
    <w:rsid w:val="00474479"/>
    <w:rsid w:val="00480844"/>
    <w:rsid w:val="00482E31"/>
    <w:rsid w:val="00483E52"/>
    <w:rsid w:val="0049071F"/>
    <w:rsid w:val="0049510D"/>
    <w:rsid w:val="004968FC"/>
    <w:rsid w:val="00496D7E"/>
    <w:rsid w:val="004A4EE8"/>
    <w:rsid w:val="004A7BBC"/>
    <w:rsid w:val="004B0665"/>
    <w:rsid w:val="004B1DAB"/>
    <w:rsid w:val="004B474E"/>
    <w:rsid w:val="004C2560"/>
    <w:rsid w:val="004C338D"/>
    <w:rsid w:val="004D1716"/>
    <w:rsid w:val="004D3921"/>
    <w:rsid w:val="004D4231"/>
    <w:rsid w:val="004D5513"/>
    <w:rsid w:val="004E219B"/>
    <w:rsid w:val="004E3694"/>
    <w:rsid w:val="004E3B77"/>
    <w:rsid w:val="004F0F91"/>
    <w:rsid w:val="004F2960"/>
    <w:rsid w:val="004F57E7"/>
    <w:rsid w:val="004F68EF"/>
    <w:rsid w:val="005015CC"/>
    <w:rsid w:val="00501D90"/>
    <w:rsid w:val="0050334A"/>
    <w:rsid w:val="00503424"/>
    <w:rsid w:val="00503F16"/>
    <w:rsid w:val="00506BBF"/>
    <w:rsid w:val="005105E1"/>
    <w:rsid w:val="00512310"/>
    <w:rsid w:val="00520683"/>
    <w:rsid w:val="00521145"/>
    <w:rsid w:val="00522593"/>
    <w:rsid w:val="00527510"/>
    <w:rsid w:val="005314FC"/>
    <w:rsid w:val="00531685"/>
    <w:rsid w:val="00533F53"/>
    <w:rsid w:val="00544C71"/>
    <w:rsid w:val="005562B0"/>
    <w:rsid w:val="00556D9E"/>
    <w:rsid w:val="005628F8"/>
    <w:rsid w:val="00572D1F"/>
    <w:rsid w:val="005762B1"/>
    <w:rsid w:val="0058352C"/>
    <w:rsid w:val="0059046D"/>
    <w:rsid w:val="005913CD"/>
    <w:rsid w:val="005919AB"/>
    <w:rsid w:val="00596219"/>
    <w:rsid w:val="005A4E59"/>
    <w:rsid w:val="005B078C"/>
    <w:rsid w:val="005B17F6"/>
    <w:rsid w:val="005B396D"/>
    <w:rsid w:val="005B6D74"/>
    <w:rsid w:val="005C15AC"/>
    <w:rsid w:val="005C7823"/>
    <w:rsid w:val="005D15DF"/>
    <w:rsid w:val="005F4F4A"/>
    <w:rsid w:val="00601F31"/>
    <w:rsid w:val="006022A1"/>
    <w:rsid w:val="00602FF7"/>
    <w:rsid w:val="00604707"/>
    <w:rsid w:val="00605950"/>
    <w:rsid w:val="0061263D"/>
    <w:rsid w:val="00625F83"/>
    <w:rsid w:val="00626996"/>
    <w:rsid w:val="00626E21"/>
    <w:rsid w:val="0063433F"/>
    <w:rsid w:val="00634F95"/>
    <w:rsid w:val="0063545F"/>
    <w:rsid w:val="00640809"/>
    <w:rsid w:val="00641073"/>
    <w:rsid w:val="00642323"/>
    <w:rsid w:val="00650525"/>
    <w:rsid w:val="00651593"/>
    <w:rsid w:val="00655398"/>
    <w:rsid w:val="006555A0"/>
    <w:rsid w:val="00655605"/>
    <w:rsid w:val="006612E3"/>
    <w:rsid w:val="00672BA8"/>
    <w:rsid w:val="00681694"/>
    <w:rsid w:val="00682628"/>
    <w:rsid w:val="00682AB0"/>
    <w:rsid w:val="0068319B"/>
    <w:rsid w:val="0068570D"/>
    <w:rsid w:val="00691719"/>
    <w:rsid w:val="0069207D"/>
    <w:rsid w:val="006928C0"/>
    <w:rsid w:val="00697C2D"/>
    <w:rsid w:val="006A3163"/>
    <w:rsid w:val="006B0550"/>
    <w:rsid w:val="006B2D56"/>
    <w:rsid w:val="006C2AC9"/>
    <w:rsid w:val="006C58C5"/>
    <w:rsid w:val="006C7A6B"/>
    <w:rsid w:val="006D0D8F"/>
    <w:rsid w:val="006D3246"/>
    <w:rsid w:val="006D38FA"/>
    <w:rsid w:val="006E19B5"/>
    <w:rsid w:val="006E7654"/>
    <w:rsid w:val="006F3B4B"/>
    <w:rsid w:val="006F5639"/>
    <w:rsid w:val="00701381"/>
    <w:rsid w:val="00702C59"/>
    <w:rsid w:val="00707B10"/>
    <w:rsid w:val="00711AD1"/>
    <w:rsid w:val="00711D27"/>
    <w:rsid w:val="00712648"/>
    <w:rsid w:val="00714874"/>
    <w:rsid w:val="00715E88"/>
    <w:rsid w:val="0071701F"/>
    <w:rsid w:val="007225B2"/>
    <w:rsid w:val="00722A0D"/>
    <w:rsid w:val="00726565"/>
    <w:rsid w:val="00732CE0"/>
    <w:rsid w:val="00736231"/>
    <w:rsid w:val="00736CA4"/>
    <w:rsid w:val="00740FB8"/>
    <w:rsid w:val="007447B2"/>
    <w:rsid w:val="00745477"/>
    <w:rsid w:val="00747B86"/>
    <w:rsid w:val="007514A8"/>
    <w:rsid w:val="00753DDA"/>
    <w:rsid w:val="00754D27"/>
    <w:rsid w:val="00756FF0"/>
    <w:rsid w:val="00762DB8"/>
    <w:rsid w:val="00764672"/>
    <w:rsid w:val="0076554F"/>
    <w:rsid w:val="00766740"/>
    <w:rsid w:val="00766805"/>
    <w:rsid w:val="00766DC3"/>
    <w:rsid w:val="00767780"/>
    <w:rsid w:val="007732CA"/>
    <w:rsid w:val="00775E6D"/>
    <w:rsid w:val="00781F59"/>
    <w:rsid w:val="00782389"/>
    <w:rsid w:val="00785FF4"/>
    <w:rsid w:val="00786B59"/>
    <w:rsid w:val="00793582"/>
    <w:rsid w:val="00794CA4"/>
    <w:rsid w:val="007961EC"/>
    <w:rsid w:val="007A513D"/>
    <w:rsid w:val="007A55CB"/>
    <w:rsid w:val="007A7709"/>
    <w:rsid w:val="007A7A25"/>
    <w:rsid w:val="007B297F"/>
    <w:rsid w:val="007B2A10"/>
    <w:rsid w:val="007B3941"/>
    <w:rsid w:val="007B4C44"/>
    <w:rsid w:val="007B56F6"/>
    <w:rsid w:val="007B7785"/>
    <w:rsid w:val="007C1BAE"/>
    <w:rsid w:val="007C40B6"/>
    <w:rsid w:val="007C5B94"/>
    <w:rsid w:val="007C5E21"/>
    <w:rsid w:val="007C7F35"/>
    <w:rsid w:val="007D3403"/>
    <w:rsid w:val="007D4825"/>
    <w:rsid w:val="007D5B2F"/>
    <w:rsid w:val="007D765A"/>
    <w:rsid w:val="007E00EE"/>
    <w:rsid w:val="007E39EE"/>
    <w:rsid w:val="007E4306"/>
    <w:rsid w:val="007F1172"/>
    <w:rsid w:val="007F17E5"/>
    <w:rsid w:val="007F40AB"/>
    <w:rsid w:val="007F564F"/>
    <w:rsid w:val="007F58C5"/>
    <w:rsid w:val="00801D40"/>
    <w:rsid w:val="00803438"/>
    <w:rsid w:val="00807754"/>
    <w:rsid w:val="0081045E"/>
    <w:rsid w:val="00811164"/>
    <w:rsid w:val="008136B8"/>
    <w:rsid w:val="008138B0"/>
    <w:rsid w:val="00820569"/>
    <w:rsid w:val="00820D87"/>
    <w:rsid w:val="0082461C"/>
    <w:rsid w:val="00830FF5"/>
    <w:rsid w:val="0083555E"/>
    <w:rsid w:val="0084017D"/>
    <w:rsid w:val="00840399"/>
    <w:rsid w:val="008410BC"/>
    <w:rsid w:val="00845812"/>
    <w:rsid w:val="00852874"/>
    <w:rsid w:val="00852DD2"/>
    <w:rsid w:val="00862AB4"/>
    <w:rsid w:val="00864083"/>
    <w:rsid w:val="00872968"/>
    <w:rsid w:val="00886082"/>
    <w:rsid w:val="00886E73"/>
    <w:rsid w:val="008A1800"/>
    <w:rsid w:val="008B0402"/>
    <w:rsid w:val="008B08D2"/>
    <w:rsid w:val="008B0A40"/>
    <w:rsid w:val="008B4D98"/>
    <w:rsid w:val="008C2A51"/>
    <w:rsid w:val="008C61F4"/>
    <w:rsid w:val="008D1418"/>
    <w:rsid w:val="008D3D62"/>
    <w:rsid w:val="008D5550"/>
    <w:rsid w:val="008E1604"/>
    <w:rsid w:val="008E64A7"/>
    <w:rsid w:val="008E6E60"/>
    <w:rsid w:val="008F3981"/>
    <w:rsid w:val="00902C51"/>
    <w:rsid w:val="00902D54"/>
    <w:rsid w:val="00911FD5"/>
    <w:rsid w:val="00914C35"/>
    <w:rsid w:val="0091763B"/>
    <w:rsid w:val="009226F1"/>
    <w:rsid w:val="00932251"/>
    <w:rsid w:val="00937929"/>
    <w:rsid w:val="009402C3"/>
    <w:rsid w:val="009426A5"/>
    <w:rsid w:val="00944184"/>
    <w:rsid w:val="009511C7"/>
    <w:rsid w:val="00955C2E"/>
    <w:rsid w:val="0096433C"/>
    <w:rsid w:val="009729EE"/>
    <w:rsid w:val="0098509E"/>
    <w:rsid w:val="00985EAE"/>
    <w:rsid w:val="009940DA"/>
    <w:rsid w:val="009A18FA"/>
    <w:rsid w:val="009A2EC8"/>
    <w:rsid w:val="009B1F90"/>
    <w:rsid w:val="009B2BED"/>
    <w:rsid w:val="009B371D"/>
    <w:rsid w:val="009B3BDB"/>
    <w:rsid w:val="009B577B"/>
    <w:rsid w:val="009C0D1A"/>
    <w:rsid w:val="009E0C1A"/>
    <w:rsid w:val="009E40BF"/>
    <w:rsid w:val="009E520C"/>
    <w:rsid w:val="009E52C0"/>
    <w:rsid w:val="009E7F22"/>
    <w:rsid w:val="009F42BB"/>
    <w:rsid w:val="009F54BF"/>
    <w:rsid w:val="009F6428"/>
    <w:rsid w:val="009F7052"/>
    <w:rsid w:val="009F78C2"/>
    <w:rsid w:val="00A07775"/>
    <w:rsid w:val="00A0779D"/>
    <w:rsid w:val="00A107FA"/>
    <w:rsid w:val="00A109A1"/>
    <w:rsid w:val="00A34B75"/>
    <w:rsid w:val="00A36773"/>
    <w:rsid w:val="00A3758D"/>
    <w:rsid w:val="00A379C8"/>
    <w:rsid w:val="00A40F12"/>
    <w:rsid w:val="00A435AE"/>
    <w:rsid w:val="00A64093"/>
    <w:rsid w:val="00A66C4D"/>
    <w:rsid w:val="00A709C8"/>
    <w:rsid w:val="00A71322"/>
    <w:rsid w:val="00A7157D"/>
    <w:rsid w:val="00A71AC1"/>
    <w:rsid w:val="00A73387"/>
    <w:rsid w:val="00A73A2F"/>
    <w:rsid w:val="00A751EB"/>
    <w:rsid w:val="00A7553D"/>
    <w:rsid w:val="00A75FD8"/>
    <w:rsid w:val="00A83E0A"/>
    <w:rsid w:val="00A917A5"/>
    <w:rsid w:val="00A9671C"/>
    <w:rsid w:val="00A97939"/>
    <w:rsid w:val="00AA1C3A"/>
    <w:rsid w:val="00AA288D"/>
    <w:rsid w:val="00AA3CE0"/>
    <w:rsid w:val="00AC0F1A"/>
    <w:rsid w:val="00AC22DD"/>
    <w:rsid w:val="00AC3070"/>
    <w:rsid w:val="00AD02DB"/>
    <w:rsid w:val="00AD07E2"/>
    <w:rsid w:val="00AD2368"/>
    <w:rsid w:val="00AD3FD7"/>
    <w:rsid w:val="00AD5380"/>
    <w:rsid w:val="00AD5492"/>
    <w:rsid w:val="00AD7188"/>
    <w:rsid w:val="00AE071A"/>
    <w:rsid w:val="00AE43C3"/>
    <w:rsid w:val="00AF1A9E"/>
    <w:rsid w:val="00B009C5"/>
    <w:rsid w:val="00B03819"/>
    <w:rsid w:val="00B0611D"/>
    <w:rsid w:val="00B100A2"/>
    <w:rsid w:val="00B11D52"/>
    <w:rsid w:val="00B13432"/>
    <w:rsid w:val="00B14A13"/>
    <w:rsid w:val="00B2547E"/>
    <w:rsid w:val="00B30DC1"/>
    <w:rsid w:val="00B32B17"/>
    <w:rsid w:val="00B346B7"/>
    <w:rsid w:val="00B40A7C"/>
    <w:rsid w:val="00B43634"/>
    <w:rsid w:val="00B436F8"/>
    <w:rsid w:val="00B4421F"/>
    <w:rsid w:val="00B5187E"/>
    <w:rsid w:val="00B532BD"/>
    <w:rsid w:val="00B53C0F"/>
    <w:rsid w:val="00B54904"/>
    <w:rsid w:val="00B63B87"/>
    <w:rsid w:val="00B664B3"/>
    <w:rsid w:val="00B76D6E"/>
    <w:rsid w:val="00B80783"/>
    <w:rsid w:val="00B82136"/>
    <w:rsid w:val="00B87E39"/>
    <w:rsid w:val="00B91EED"/>
    <w:rsid w:val="00B933F0"/>
    <w:rsid w:val="00B93EF6"/>
    <w:rsid w:val="00B95A51"/>
    <w:rsid w:val="00B969ED"/>
    <w:rsid w:val="00BA15D2"/>
    <w:rsid w:val="00BA38CE"/>
    <w:rsid w:val="00BA60AF"/>
    <w:rsid w:val="00BA6216"/>
    <w:rsid w:val="00BC5BA1"/>
    <w:rsid w:val="00BC7A33"/>
    <w:rsid w:val="00BE5094"/>
    <w:rsid w:val="00BE6E74"/>
    <w:rsid w:val="00BE7FA5"/>
    <w:rsid w:val="00BF3E25"/>
    <w:rsid w:val="00C0028B"/>
    <w:rsid w:val="00C01088"/>
    <w:rsid w:val="00C024A8"/>
    <w:rsid w:val="00C051EA"/>
    <w:rsid w:val="00C06CDF"/>
    <w:rsid w:val="00C12B06"/>
    <w:rsid w:val="00C12F6E"/>
    <w:rsid w:val="00C165D4"/>
    <w:rsid w:val="00C2313B"/>
    <w:rsid w:val="00C2327C"/>
    <w:rsid w:val="00C23936"/>
    <w:rsid w:val="00C247D3"/>
    <w:rsid w:val="00C24AAB"/>
    <w:rsid w:val="00C25E30"/>
    <w:rsid w:val="00C30FF0"/>
    <w:rsid w:val="00C34B57"/>
    <w:rsid w:val="00C3744A"/>
    <w:rsid w:val="00C421EE"/>
    <w:rsid w:val="00C44FCA"/>
    <w:rsid w:val="00C46AB8"/>
    <w:rsid w:val="00C471A0"/>
    <w:rsid w:val="00C5694A"/>
    <w:rsid w:val="00C57168"/>
    <w:rsid w:val="00C60AAE"/>
    <w:rsid w:val="00C632FE"/>
    <w:rsid w:val="00C759E4"/>
    <w:rsid w:val="00C75F82"/>
    <w:rsid w:val="00C83176"/>
    <w:rsid w:val="00C9107F"/>
    <w:rsid w:val="00C917E8"/>
    <w:rsid w:val="00C94047"/>
    <w:rsid w:val="00CA3D0C"/>
    <w:rsid w:val="00CA7182"/>
    <w:rsid w:val="00CB15F9"/>
    <w:rsid w:val="00CB51BD"/>
    <w:rsid w:val="00CB57E8"/>
    <w:rsid w:val="00CB6683"/>
    <w:rsid w:val="00CC010A"/>
    <w:rsid w:val="00CC407E"/>
    <w:rsid w:val="00CC52F2"/>
    <w:rsid w:val="00CD32CF"/>
    <w:rsid w:val="00CD67C3"/>
    <w:rsid w:val="00CE129F"/>
    <w:rsid w:val="00CF422C"/>
    <w:rsid w:val="00D01055"/>
    <w:rsid w:val="00D04545"/>
    <w:rsid w:val="00D05C8C"/>
    <w:rsid w:val="00D17D1A"/>
    <w:rsid w:val="00D21004"/>
    <w:rsid w:val="00D21145"/>
    <w:rsid w:val="00D246CC"/>
    <w:rsid w:val="00D354DC"/>
    <w:rsid w:val="00D356A0"/>
    <w:rsid w:val="00D36616"/>
    <w:rsid w:val="00D41D1B"/>
    <w:rsid w:val="00D423D5"/>
    <w:rsid w:val="00D45A83"/>
    <w:rsid w:val="00D50632"/>
    <w:rsid w:val="00D51EFC"/>
    <w:rsid w:val="00D536E8"/>
    <w:rsid w:val="00D5524B"/>
    <w:rsid w:val="00D55839"/>
    <w:rsid w:val="00D55D5D"/>
    <w:rsid w:val="00D6263D"/>
    <w:rsid w:val="00D62E10"/>
    <w:rsid w:val="00D73D89"/>
    <w:rsid w:val="00D77BF3"/>
    <w:rsid w:val="00D82252"/>
    <w:rsid w:val="00D85493"/>
    <w:rsid w:val="00D85A2A"/>
    <w:rsid w:val="00D905C1"/>
    <w:rsid w:val="00D908DB"/>
    <w:rsid w:val="00D9270F"/>
    <w:rsid w:val="00D943D1"/>
    <w:rsid w:val="00DA1618"/>
    <w:rsid w:val="00DA7185"/>
    <w:rsid w:val="00DB6DE5"/>
    <w:rsid w:val="00DC7A86"/>
    <w:rsid w:val="00DD38F5"/>
    <w:rsid w:val="00DD6383"/>
    <w:rsid w:val="00DD6811"/>
    <w:rsid w:val="00DF1C7D"/>
    <w:rsid w:val="00DF62FD"/>
    <w:rsid w:val="00E0235A"/>
    <w:rsid w:val="00E12F5C"/>
    <w:rsid w:val="00E2228E"/>
    <w:rsid w:val="00E2607C"/>
    <w:rsid w:val="00E336E2"/>
    <w:rsid w:val="00E34630"/>
    <w:rsid w:val="00E35956"/>
    <w:rsid w:val="00E4083B"/>
    <w:rsid w:val="00E44714"/>
    <w:rsid w:val="00E465ED"/>
    <w:rsid w:val="00E521C8"/>
    <w:rsid w:val="00E62EBC"/>
    <w:rsid w:val="00E65D9E"/>
    <w:rsid w:val="00E65EDF"/>
    <w:rsid w:val="00E6755C"/>
    <w:rsid w:val="00E7359F"/>
    <w:rsid w:val="00E7618D"/>
    <w:rsid w:val="00E83C54"/>
    <w:rsid w:val="00E9100F"/>
    <w:rsid w:val="00E93F5D"/>
    <w:rsid w:val="00E95659"/>
    <w:rsid w:val="00EA068C"/>
    <w:rsid w:val="00EA0DE7"/>
    <w:rsid w:val="00EA2EFF"/>
    <w:rsid w:val="00EA39EA"/>
    <w:rsid w:val="00EB03B4"/>
    <w:rsid w:val="00EB4067"/>
    <w:rsid w:val="00EB44B1"/>
    <w:rsid w:val="00EB5129"/>
    <w:rsid w:val="00EB728A"/>
    <w:rsid w:val="00EB743C"/>
    <w:rsid w:val="00EC43E0"/>
    <w:rsid w:val="00EC78AA"/>
    <w:rsid w:val="00ED40C6"/>
    <w:rsid w:val="00ED449B"/>
    <w:rsid w:val="00ED5112"/>
    <w:rsid w:val="00ED67D3"/>
    <w:rsid w:val="00EE1D9B"/>
    <w:rsid w:val="00EE3163"/>
    <w:rsid w:val="00EE5D22"/>
    <w:rsid w:val="00EF0D1B"/>
    <w:rsid w:val="00F03222"/>
    <w:rsid w:val="00F061F0"/>
    <w:rsid w:val="00F1124A"/>
    <w:rsid w:val="00F1156A"/>
    <w:rsid w:val="00F17EC6"/>
    <w:rsid w:val="00F232B9"/>
    <w:rsid w:val="00F30397"/>
    <w:rsid w:val="00F3186F"/>
    <w:rsid w:val="00F33C12"/>
    <w:rsid w:val="00F352ED"/>
    <w:rsid w:val="00F360D4"/>
    <w:rsid w:val="00F364DE"/>
    <w:rsid w:val="00F422B3"/>
    <w:rsid w:val="00F42FB0"/>
    <w:rsid w:val="00F46D8A"/>
    <w:rsid w:val="00F47B17"/>
    <w:rsid w:val="00F52DB6"/>
    <w:rsid w:val="00F53C1F"/>
    <w:rsid w:val="00F55AE0"/>
    <w:rsid w:val="00F67247"/>
    <w:rsid w:val="00F701FD"/>
    <w:rsid w:val="00F73B3A"/>
    <w:rsid w:val="00F839D8"/>
    <w:rsid w:val="00F8421B"/>
    <w:rsid w:val="00F86E99"/>
    <w:rsid w:val="00F87CAA"/>
    <w:rsid w:val="00FA0F41"/>
    <w:rsid w:val="00FA32E1"/>
    <w:rsid w:val="00FA3F60"/>
    <w:rsid w:val="00FA63B0"/>
    <w:rsid w:val="00FB1332"/>
    <w:rsid w:val="00FB159F"/>
    <w:rsid w:val="00FB2CD9"/>
    <w:rsid w:val="00FB34AA"/>
    <w:rsid w:val="00FB3931"/>
    <w:rsid w:val="00FB6825"/>
    <w:rsid w:val="00FC055D"/>
    <w:rsid w:val="00FC31DF"/>
    <w:rsid w:val="00FD596B"/>
    <w:rsid w:val="00FD79DC"/>
    <w:rsid w:val="00FE3F42"/>
    <w:rsid w:val="00FE6EA7"/>
    <w:rsid w:val="00FF3C02"/>
    <w:rsid w:val="032E706B"/>
    <w:rsid w:val="06670B5F"/>
    <w:rsid w:val="0BCE6898"/>
    <w:rsid w:val="0E0E4B5B"/>
    <w:rsid w:val="0E3540A5"/>
    <w:rsid w:val="108D421D"/>
    <w:rsid w:val="1285227B"/>
    <w:rsid w:val="14843C24"/>
    <w:rsid w:val="17884761"/>
    <w:rsid w:val="180968C7"/>
    <w:rsid w:val="19D01FB0"/>
    <w:rsid w:val="19E43F15"/>
    <w:rsid w:val="1A1014BB"/>
    <w:rsid w:val="1AC56EBF"/>
    <w:rsid w:val="1B54447C"/>
    <w:rsid w:val="1D3A38B9"/>
    <w:rsid w:val="1DE32650"/>
    <w:rsid w:val="20C35583"/>
    <w:rsid w:val="2331054B"/>
    <w:rsid w:val="23DF6C46"/>
    <w:rsid w:val="26077F8C"/>
    <w:rsid w:val="2697552C"/>
    <w:rsid w:val="2AD572B6"/>
    <w:rsid w:val="2B1151B3"/>
    <w:rsid w:val="2CAE4129"/>
    <w:rsid w:val="2CBE1AF2"/>
    <w:rsid w:val="2E40750B"/>
    <w:rsid w:val="2E7D142E"/>
    <w:rsid w:val="30C21852"/>
    <w:rsid w:val="31243B92"/>
    <w:rsid w:val="3158048D"/>
    <w:rsid w:val="32544453"/>
    <w:rsid w:val="33A44248"/>
    <w:rsid w:val="345C7369"/>
    <w:rsid w:val="38C97E10"/>
    <w:rsid w:val="3A784AC5"/>
    <w:rsid w:val="3B816045"/>
    <w:rsid w:val="3E32681A"/>
    <w:rsid w:val="40665D75"/>
    <w:rsid w:val="433F0F0D"/>
    <w:rsid w:val="46953C3C"/>
    <w:rsid w:val="4A6314C4"/>
    <w:rsid w:val="4F1B7959"/>
    <w:rsid w:val="4FBD2FA8"/>
    <w:rsid w:val="5042700D"/>
    <w:rsid w:val="508B721C"/>
    <w:rsid w:val="513B517B"/>
    <w:rsid w:val="53506CB2"/>
    <w:rsid w:val="54554F40"/>
    <w:rsid w:val="57C344F4"/>
    <w:rsid w:val="58C71F24"/>
    <w:rsid w:val="5B4A0414"/>
    <w:rsid w:val="5E911F52"/>
    <w:rsid w:val="5F635CC7"/>
    <w:rsid w:val="65A62498"/>
    <w:rsid w:val="668C6B34"/>
    <w:rsid w:val="67E07611"/>
    <w:rsid w:val="68DF0A56"/>
    <w:rsid w:val="6944728B"/>
    <w:rsid w:val="6C1C46FA"/>
    <w:rsid w:val="71F97252"/>
    <w:rsid w:val="754008F4"/>
    <w:rsid w:val="786138FA"/>
    <w:rsid w:val="79114E6C"/>
    <w:rsid w:val="79DA7CFD"/>
    <w:rsid w:val="79F9781F"/>
    <w:rsid w:val="7A0D1A11"/>
    <w:rsid w:val="7BCE2C13"/>
    <w:rsid w:val="7DFD31B9"/>
    <w:rsid w:val="7ED62587"/>
    <w:rsid w:val="7EF9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b/>
      <w:kern w:val="44"/>
      <w:sz w:val="44"/>
    </w:rPr>
  </w:style>
  <w:style w:type="paragraph" w:styleId="4">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53"/>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tabs>
        <w:tab w:val="left" w:pos="1984"/>
      </w:tabs>
      <w:spacing w:before="280" w:after="290" w:line="372" w:lineRule="auto"/>
      <w:ind w:left="1984" w:hanging="708"/>
      <w:outlineLvl w:val="3"/>
    </w:pPr>
    <w:rPr>
      <w:rFonts w:ascii="Arial" w:hAnsi="Arial" w:eastAsia="黑体"/>
      <w:b/>
      <w:sz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3"/>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7">
    <w:name w:val="annotation text"/>
    <w:basedOn w:val="1"/>
    <w:link w:val="31"/>
    <w:unhideWhenUsed/>
    <w:qFormat/>
    <w:uiPriority w:val="0"/>
    <w:pPr>
      <w:jc w:val="left"/>
    </w:pPr>
  </w:style>
  <w:style w:type="paragraph" w:styleId="8">
    <w:name w:val="Body Text"/>
    <w:basedOn w:val="1"/>
    <w:link w:val="50"/>
    <w:unhideWhenUsed/>
    <w:qFormat/>
    <w:uiPriority w:val="99"/>
    <w:pPr>
      <w:spacing w:after="120"/>
      <w:ind w:firstLine="200" w:firstLineChars="200"/>
    </w:pPr>
    <w:rPr>
      <w:szCs w:val="22"/>
    </w:rPr>
  </w:style>
  <w:style w:type="paragraph" w:styleId="9">
    <w:name w:val="Body Text Indent"/>
    <w:basedOn w:val="1"/>
    <w:link w:val="61"/>
    <w:semiHidden/>
    <w:unhideWhenUsed/>
    <w:uiPriority w:val="99"/>
    <w:pPr>
      <w:spacing w:after="120"/>
      <w:ind w:left="420" w:leftChars="200"/>
    </w:pPr>
  </w:style>
  <w:style w:type="paragraph" w:styleId="10">
    <w:name w:val="Block Text"/>
    <w:basedOn w:val="1"/>
    <w:qFormat/>
    <w:uiPriority w:val="0"/>
    <w:pPr>
      <w:spacing w:after="120"/>
      <w:ind w:left="1440" w:leftChars="700" w:right="1440" w:rightChars="700"/>
    </w:pPr>
    <w:rPr>
      <w:szCs w:val="20"/>
    </w:rPr>
  </w:style>
  <w:style w:type="paragraph" w:styleId="11">
    <w:name w:val="toc 3"/>
    <w:basedOn w:val="1"/>
    <w:next w:val="1"/>
    <w:autoRedefine/>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Date"/>
    <w:basedOn w:val="1"/>
    <w:next w:val="1"/>
    <w:link w:val="32"/>
    <w:unhideWhenUsed/>
    <w:qFormat/>
    <w:uiPriority w:val="99"/>
    <w:pPr>
      <w:ind w:left="100" w:leftChars="2500"/>
    </w:pPr>
  </w:style>
  <w:style w:type="paragraph" w:styleId="13">
    <w:name w:val="Body Text Indent 2"/>
    <w:basedOn w:val="1"/>
    <w:link w:val="54"/>
    <w:unhideWhenUsed/>
    <w:uiPriority w:val="99"/>
    <w:pPr>
      <w:spacing w:after="120" w:line="480" w:lineRule="auto"/>
      <w:ind w:left="420" w:leftChars="200" w:firstLine="200" w:firstLineChars="200"/>
    </w:pPr>
    <w:rPr>
      <w:szCs w:val="22"/>
    </w:rPr>
  </w:style>
  <w:style w:type="paragraph" w:styleId="14">
    <w:name w:val="Balloon Text"/>
    <w:basedOn w:val="1"/>
    <w:link w:val="33"/>
    <w:unhideWhenUsed/>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kern w:val="0"/>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uiPriority w:val="39"/>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autoRedefine/>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36"/>
    <w:qFormat/>
    <w:uiPriority w:val="0"/>
    <w:rPr>
      <w:color w:val="FF0000"/>
      <w:szCs w:val="20"/>
    </w:rPr>
  </w:style>
  <w:style w:type="paragraph" w:styleId="20">
    <w:name w:val="Normal (Web)"/>
    <w:basedOn w:val="1"/>
    <w:qFormat/>
    <w:uiPriority w:val="0"/>
    <w:pPr>
      <w:widowControl/>
      <w:spacing w:before="100" w:beforeAutospacing="1" w:after="100" w:afterAutospacing="1"/>
      <w:jc w:val="left"/>
    </w:pPr>
    <w:rPr>
      <w:rFonts w:ascii="_x000B__x000C_" w:hAnsi="_x000B__x000C_"/>
      <w:kern w:val="0"/>
      <w:sz w:val="18"/>
      <w:szCs w:val="18"/>
    </w:rPr>
  </w:style>
  <w:style w:type="paragraph" w:styleId="21">
    <w:name w:val="annotation subject"/>
    <w:basedOn w:val="7"/>
    <w:next w:val="7"/>
    <w:link w:val="37"/>
    <w:unhideWhenUsed/>
    <w:qFormat/>
    <w:uiPriority w:val="99"/>
    <w:rPr>
      <w:b/>
      <w:bCs/>
    </w:rPr>
  </w:style>
  <w:style w:type="paragraph" w:styleId="22">
    <w:name w:val="Body Text First Indent"/>
    <w:basedOn w:val="8"/>
    <w:link w:val="60"/>
    <w:semiHidden/>
    <w:unhideWhenUsed/>
    <w:uiPriority w:val="99"/>
    <w:pPr>
      <w:ind w:firstLine="420" w:firstLineChars="100"/>
    </w:pPr>
    <w:rPr>
      <w:szCs w:val="24"/>
    </w:rPr>
  </w:style>
  <w:style w:type="paragraph" w:styleId="23">
    <w:name w:val="Body Text First Indent 2"/>
    <w:basedOn w:val="9"/>
    <w:link w:val="62"/>
    <w:semiHidden/>
    <w:unhideWhenUsed/>
    <w:uiPriority w:val="99"/>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qFormat/>
    <w:uiPriority w:val="99"/>
    <w:rPr>
      <w:color w:val="0000FF"/>
      <w:u w:val="single"/>
    </w:rPr>
  </w:style>
  <w:style w:type="character" w:styleId="28">
    <w:name w:val="annotation reference"/>
    <w:unhideWhenUsed/>
    <w:qFormat/>
    <w:uiPriority w:val="0"/>
    <w:rPr>
      <w:sz w:val="21"/>
      <w:szCs w:val="21"/>
    </w:rPr>
  </w:style>
  <w:style w:type="character" w:customStyle="1" w:styleId="29">
    <w:name w:val="标题 1 字符"/>
    <w:link w:val="3"/>
    <w:qFormat/>
    <w:uiPriority w:val="0"/>
    <w:rPr>
      <w:rFonts w:ascii="Times New Roman" w:hAnsi="Times New Roman"/>
      <w:b/>
      <w:kern w:val="44"/>
      <w:sz w:val="44"/>
      <w:szCs w:val="24"/>
    </w:rPr>
  </w:style>
  <w:style w:type="character" w:customStyle="1" w:styleId="30">
    <w:name w:val="标题 2 字符"/>
    <w:link w:val="4"/>
    <w:semiHidden/>
    <w:qFormat/>
    <w:uiPriority w:val="9"/>
    <w:rPr>
      <w:rFonts w:ascii="等线 Light" w:hAnsi="等线 Light" w:eastAsia="等线 Light" w:cs="Times New Roman"/>
      <w:b/>
      <w:bCs/>
      <w:kern w:val="2"/>
      <w:sz w:val="32"/>
      <w:szCs w:val="32"/>
    </w:rPr>
  </w:style>
  <w:style w:type="character" w:customStyle="1" w:styleId="31">
    <w:name w:val="批注文字 字符"/>
    <w:link w:val="7"/>
    <w:qFormat/>
    <w:uiPriority w:val="0"/>
    <w:rPr>
      <w:kern w:val="2"/>
      <w:sz w:val="21"/>
      <w:szCs w:val="24"/>
    </w:rPr>
  </w:style>
  <w:style w:type="character" w:customStyle="1" w:styleId="32">
    <w:name w:val="日期 字符"/>
    <w:link w:val="12"/>
    <w:semiHidden/>
    <w:qFormat/>
    <w:uiPriority w:val="99"/>
    <w:rPr>
      <w:kern w:val="2"/>
      <w:sz w:val="21"/>
      <w:szCs w:val="24"/>
    </w:rPr>
  </w:style>
  <w:style w:type="character" w:customStyle="1" w:styleId="33">
    <w:name w:val="批注框文本 字符"/>
    <w:link w:val="14"/>
    <w:semiHidden/>
    <w:qFormat/>
    <w:uiPriority w:val="99"/>
    <w:rPr>
      <w:kern w:val="2"/>
      <w:sz w:val="18"/>
      <w:szCs w:val="18"/>
    </w:rPr>
  </w:style>
  <w:style w:type="character" w:customStyle="1" w:styleId="34">
    <w:name w:val="页脚 字符"/>
    <w:link w:val="15"/>
    <w:qFormat/>
    <w:uiPriority w:val="99"/>
    <w:rPr>
      <w:sz w:val="18"/>
      <w:szCs w:val="18"/>
    </w:rPr>
  </w:style>
  <w:style w:type="character" w:customStyle="1" w:styleId="35">
    <w:name w:val="页眉 字符"/>
    <w:link w:val="16"/>
    <w:qFormat/>
    <w:uiPriority w:val="99"/>
    <w:rPr>
      <w:sz w:val="18"/>
      <w:szCs w:val="18"/>
    </w:rPr>
  </w:style>
  <w:style w:type="character" w:customStyle="1" w:styleId="36">
    <w:name w:val="正文文本 2 字符"/>
    <w:link w:val="19"/>
    <w:uiPriority w:val="0"/>
    <w:rPr>
      <w:rFonts w:ascii="Times New Roman" w:hAnsi="Times New Roman"/>
      <w:color w:val="FF0000"/>
      <w:kern w:val="2"/>
      <w:sz w:val="21"/>
    </w:rPr>
  </w:style>
  <w:style w:type="character" w:customStyle="1" w:styleId="37">
    <w:name w:val="批注主题 字符"/>
    <w:link w:val="21"/>
    <w:semiHidden/>
    <w:qFormat/>
    <w:uiPriority w:val="99"/>
    <w:rPr>
      <w:b/>
      <w:bCs/>
      <w:kern w:val="2"/>
      <w:sz w:val="21"/>
      <w:szCs w:val="24"/>
    </w:rPr>
  </w:style>
  <w:style w:type="paragraph" w:styleId="38">
    <w:name w:val="List Paragraph"/>
    <w:basedOn w:val="1"/>
    <w:link w:val="39"/>
    <w:qFormat/>
    <w:uiPriority w:val="34"/>
    <w:pPr>
      <w:ind w:firstLine="420" w:firstLineChars="200"/>
    </w:pPr>
  </w:style>
  <w:style w:type="character" w:customStyle="1" w:styleId="39">
    <w:name w:val="列表段落 字符"/>
    <w:link w:val="38"/>
    <w:qFormat/>
    <w:uiPriority w:val="34"/>
    <w:rPr>
      <w:kern w:val="2"/>
      <w:sz w:val="21"/>
      <w:szCs w:val="24"/>
    </w:rPr>
  </w:style>
  <w:style w:type="paragraph" w:customStyle="1" w:styleId="40">
    <w:name w:val="正文00"/>
    <w:basedOn w:val="1"/>
    <w:qFormat/>
    <w:uiPriority w:val="0"/>
    <w:pPr>
      <w:topLinePunct/>
      <w:spacing w:line="360" w:lineRule="auto"/>
      <w:ind w:firstLine="200" w:firstLineChars="200"/>
    </w:pPr>
    <w:rPr>
      <w:sz w:val="24"/>
      <w:szCs w:val="21"/>
    </w:rPr>
  </w:style>
  <w:style w:type="character" w:customStyle="1" w:styleId="41">
    <w:name w:val="标题 2 Char Char Char"/>
    <w:qFormat/>
    <w:uiPriority w:val="0"/>
    <w:rPr>
      <w:rFonts w:ascii="Arial" w:hAnsi="Arial" w:eastAsia="黑体" w:cs="Times New Roman"/>
      <w:b/>
      <w:bCs/>
      <w:kern w:val="2"/>
      <w:sz w:val="32"/>
      <w:szCs w:val="32"/>
      <w:lang w:val="en-US" w:eastAsia="zh-CN" w:bidi="ar-SA"/>
    </w:rPr>
  </w:style>
  <w:style w:type="character" w:customStyle="1" w:styleId="42">
    <w:name w:val="apple-converted-space"/>
    <w:qFormat/>
    <w:uiPriority w:val="0"/>
  </w:style>
  <w:style w:type="paragraph" w:customStyle="1" w:styleId="43">
    <w:name w:val="无间隔1"/>
    <w:qFormat/>
    <w:uiPriority w:val="1"/>
    <w:pPr>
      <w:widowControl w:val="0"/>
      <w:spacing w:beforeLines="50" w:afterLines="50"/>
      <w:jc w:val="both"/>
    </w:pPr>
    <w:rPr>
      <w:rFonts w:ascii="Times New Roman" w:hAnsi="Times New Roman" w:eastAsia="宋体" w:cs="Times New Roman"/>
      <w:kern w:val="2"/>
      <w:sz w:val="21"/>
      <w:szCs w:val="24"/>
      <w:lang w:val="en-US" w:eastAsia="zh-CN" w:bidi="ar-SA"/>
    </w:rPr>
  </w:style>
  <w:style w:type="paragraph" w:customStyle="1" w:styleId="44">
    <w:name w:val="Normal Paragraph"/>
    <w:basedOn w:val="1"/>
    <w:uiPriority w:val="0"/>
    <w:pPr>
      <w:widowControl/>
      <w:spacing w:before="120" w:line="360" w:lineRule="auto"/>
      <w:ind w:firstLine="425"/>
    </w:pPr>
    <w:rPr>
      <w:kern w:val="0"/>
      <w:sz w:val="24"/>
    </w:rPr>
  </w:style>
  <w:style w:type="paragraph" w:customStyle="1" w:styleId="45">
    <w:name w:val="列出段落2"/>
    <w:basedOn w:val="1"/>
    <w:qFormat/>
    <w:uiPriority w:val="34"/>
    <w:pPr>
      <w:ind w:firstLine="420" w:firstLineChars="200"/>
    </w:pPr>
    <w:rPr>
      <w:szCs w:val="20"/>
    </w:rPr>
  </w:style>
  <w:style w:type="paragraph" w:customStyle="1" w:styleId="46">
    <w:name w:val="表格"/>
    <w:basedOn w:val="1"/>
    <w:link w:val="47"/>
    <w:qFormat/>
    <w:uiPriority w:val="14"/>
    <w:pPr>
      <w:adjustRightInd w:val="0"/>
      <w:spacing w:line="300" w:lineRule="auto"/>
    </w:pPr>
  </w:style>
  <w:style w:type="character" w:customStyle="1" w:styleId="47">
    <w:name w:val="表格 字符"/>
    <w:link w:val="46"/>
    <w:uiPriority w:val="14"/>
    <w:rPr>
      <w:kern w:val="2"/>
      <w:sz w:val="21"/>
      <w:szCs w:val="24"/>
    </w:rPr>
  </w:style>
  <w:style w:type="paragraph" w:customStyle="1" w:styleId="48">
    <w:name w:val="修订1"/>
    <w:unhideWhenUsed/>
    <w:uiPriority w:val="99"/>
    <w:rPr>
      <w:rFonts w:ascii="Times New Roman" w:hAnsi="Times New Roman" w:eastAsia="宋体" w:cs="Times New Roman"/>
      <w:kern w:val="2"/>
      <w:sz w:val="21"/>
      <w:szCs w:val="24"/>
      <w:lang w:val="en-US" w:eastAsia="zh-CN" w:bidi="ar-SA"/>
    </w:rPr>
  </w:style>
  <w:style w:type="character" w:customStyle="1" w:styleId="49">
    <w:name w:val="批注文字 Char"/>
    <w:qFormat/>
    <w:uiPriority w:val="99"/>
    <w:rPr>
      <w:rFonts w:eastAsia="宋体"/>
      <w:kern w:val="2"/>
      <w:sz w:val="21"/>
      <w:lang w:val="en-US" w:eastAsia="zh-CN" w:bidi="ar-SA"/>
    </w:rPr>
  </w:style>
  <w:style w:type="character" w:customStyle="1" w:styleId="50">
    <w:name w:val="正文文本 字符"/>
    <w:basedOn w:val="26"/>
    <w:link w:val="8"/>
    <w:uiPriority w:val="99"/>
    <w:rPr>
      <w:kern w:val="2"/>
      <w:sz w:val="21"/>
      <w:szCs w:val="22"/>
    </w:rPr>
  </w:style>
  <w:style w:type="paragraph" w:customStyle="1" w:styleId="51">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52">
    <w:name w:val="缺省文本"/>
    <w:basedOn w:val="1"/>
    <w:qFormat/>
    <w:uiPriority w:val="0"/>
    <w:pPr>
      <w:autoSpaceDE w:val="0"/>
      <w:autoSpaceDN w:val="0"/>
      <w:adjustRightInd w:val="0"/>
      <w:jc w:val="left"/>
    </w:pPr>
    <w:rPr>
      <w:kern w:val="0"/>
      <w:sz w:val="24"/>
      <w:szCs w:val="20"/>
    </w:rPr>
  </w:style>
  <w:style w:type="character" w:customStyle="1" w:styleId="53">
    <w:name w:val="标题 3 字符"/>
    <w:basedOn w:val="26"/>
    <w:link w:val="5"/>
    <w:semiHidden/>
    <w:uiPriority w:val="9"/>
    <w:rPr>
      <w:b/>
      <w:bCs/>
      <w:kern w:val="2"/>
      <w:sz w:val="32"/>
      <w:szCs w:val="32"/>
    </w:rPr>
  </w:style>
  <w:style w:type="character" w:customStyle="1" w:styleId="54">
    <w:name w:val="正文文本缩进 2 字符"/>
    <w:basedOn w:val="26"/>
    <w:link w:val="13"/>
    <w:uiPriority w:val="99"/>
    <w:rPr>
      <w:kern w:val="2"/>
      <w:sz w:val="21"/>
      <w:szCs w:val="22"/>
    </w:rPr>
  </w:style>
  <w:style w:type="paragraph" w:customStyle="1" w:styleId="55">
    <w:name w:val="列出段落1"/>
    <w:basedOn w:val="1"/>
    <w:qFormat/>
    <w:uiPriority w:val="0"/>
    <w:pPr>
      <w:ind w:firstLine="420" w:firstLineChars="200"/>
    </w:pPr>
  </w:style>
  <w:style w:type="character" w:customStyle="1" w:styleId="56">
    <w:name w:val="3级标题nbm Char"/>
    <w:link w:val="57"/>
    <w:qFormat/>
    <w:uiPriority w:val="0"/>
    <w:rPr>
      <w:rFonts w:ascii="宋体" w:hAnsi="宋体"/>
      <w:bCs/>
      <w:kern w:val="2"/>
      <w:sz w:val="21"/>
      <w:szCs w:val="21"/>
    </w:rPr>
  </w:style>
  <w:style w:type="paragraph" w:customStyle="1" w:styleId="57">
    <w:name w:val="3级标题nbm"/>
    <w:basedOn w:val="1"/>
    <w:link w:val="56"/>
    <w:qFormat/>
    <w:uiPriority w:val="0"/>
    <w:pPr>
      <w:keepNext/>
      <w:keepLines/>
      <w:spacing w:line="360" w:lineRule="auto"/>
      <w:ind w:left="720" w:hanging="720"/>
      <w:outlineLvl w:val="2"/>
    </w:pPr>
    <w:rPr>
      <w:rFonts w:ascii="宋体" w:hAnsi="宋体"/>
      <w:bCs/>
      <w:szCs w:val="21"/>
    </w:rPr>
  </w:style>
  <w:style w:type="paragraph" w:customStyle="1" w:styleId="58">
    <w:name w:val="标题四"/>
    <w:basedOn w:val="5"/>
    <w:qFormat/>
    <w:uiPriority w:val="0"/>
    <w:rPr>
      <w:kern w:val="0"/>
      <w:sz w:val="28"/>
    </w:rPr>
  </w:style>
  <w:style w:type="paragraph" w:customStyle="1" w:styleId="59">
    <w:name w:val="正文_0_1"/>
    <w:qFormat/>
    <w:uiPriority w:val="0"/>
    <w:pPr>
      <w:widowControl w:val="0"/>
      <w:jc w:val="both"/>
    </w:pPr>
    <w:rPr>
      <w:rFonts w:ascii="Calibri" w:hAnsi="Calibri" w:eastAsia="宋体" w:cs="Times New Roman"/>
      <w:lang w:val="en-US" w:eastAsia="zh-CN" w:bidi="ar-SA"/>
    </w:rPr>
  </w:style>
  <w:style w:type="character" w:customStyle="1" w:styleId="60">
    <w:name w:val="正文文本首行缩进 字符"/>
    <w:basedOn w:val="50"/>
    <w:link w:val="22"/>
    <w:semiHidden/>
    <w:uiPriority w:val="99"/>
    <w:rPr>
      <w:kern w:val="2"/>
      <w:sz w:val="21"/>
      <w:szCs w:val="24"/>
    </w:rPr>
  </w:style>
  <w:style w:type="character" w:customStyle="1" w:styleId="61">
    <w:name w:val="正文文本缩进 字符"/>
    <w:basedOn w:val="26"/>
    <w:link w:val="9"/>
    <w:semiHidden/>
    <w:uiPriority w:val="99"/>
    <w:rPr>
      <w:kern w:val="2"/>
      <w:sz w:val="21"/>
      <w:szCs w:val="24"/>
    </w:rPr>
  </w:style>
  <w:style w:type="character" w:customStyle="1" w:styleId="62">
    <w:name w:val="正文文本首行缩进 2 字符"/>
    <w:basedOn w:val="61"/>
    <w:link w:val="23"/>
    <w:semiHidden/>
    <w:uiPriority w:val="99"/>
    <w:rPr>
      <w:kern w:val="2"/>
      <w:sz w:val="21"/>
      <w:szCs w:val="24"/>
    </w:rPr>
  </w:style>
  <w:style w:type="character" w:customStyle="1" w:styleId="63">
    <w:name w:val="正文缩进 字符"/>
    <w:link w:val="6"/>
    <w:qFormat/>
    <w:uiPriority w:val="99"/>
    <w:rPr>
      <w:rFonts w:ascii="楷体_GB2312" w:eastAsia="楷体_GB2312"/>
      <w:sz w:val="28"/>
    </w:rPr>
  </w:style>
  <w:style w:type="character" w:customStyle="1" w:styleId="64">
    <w:name w:val="标题 1 Char"/>
    <w:qFormat/>
    <w:uiPriority w:val="0"/>
    <w:rPr>
      <w:rFonts w:ascii="黑体"/>
      <w:b/>
      <w:kern w:val="44"/>
      <w:sz w:val="32"/>
    </w:rPr>
  </w:style>
  <w:style w:type="paragraph" w:customStyle="1" w:styleId="6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customStyle="1" w:styleId="66">
    <w:name w:val="21bc9c4b-6a32-43e5-beaa-fd2d792c5735"/>
    <w:basedOn w:val="3"/>
    <w:next w:val="67"/>
    <w:link w:val="68"/>
    <w:uiPriority w:val="0"/>
    <w:pPr>
      <w:adjustRightInd w:val="0"/>
      <w:spacing w:before="0" w:after="0" w:line="288" w:lineRule="auto"/>
      <w:jc w:val="left"/>
    </w:pPr>
    <w:rPr>
      <w:rFonts w:ascii="微软雅黑" w:hAnsi="微软雅黑" w:eastAsia="微软雅黑"/>
      <w:color w:val="000000"/>
      <w:sz w:val="32"/>
      <w:szCs w:val="36"/>
    </w:rPr>
  </w:style>
  <w:style w:type="paragraph" w:customStyle="1" w:styleId="67">
    <w:name w:val="acbfdd8b-e11b-4d36-88ff-6049b138f862"/>
    <w:basedOn w:val="8"/>
    <w:link w:val="69"/>
    <w:uiPriority w:val="0"/>
    <w:pPr>
      <w:adjustRightInd w:val="0"/>
      <w:spacing w:after="0" w:line="288" w:lineRule="auto"/>
      <w:ind w:firstLine="0"/>
      <w:jc w:val="left"/>
    </w:pPr>
    <w:rPr>
      <w:rFonts w:ascii="微软雅黑" w:hAnsi="微软雅黑" w:eastAsia="微软雅黑"/>
      <w:color w:val="000000"/>
      <w:sz w:val="22"/>
      <w:szCs w:val="36"/>
    </w:rPr>
  </w:style>
  <w:style w:type="character" w:customStyle="1" w:styleId="68">
    <w:name w:val="21bc9c4b-6a32-43e5-beaa-fd2d792c5735 字符"/>
    <w:basedOn w:val="29"/>
    <w:link w:val="66"/>
    <w:uiPriority w:val="0"/>
    <w:rPr>
      <w:rFonts w:ascii="微软雅黑" w:hAnsi="微软雅黑" w:eastAsia="微软雅黑"/>
      <w:color w:val="000000"/>
      <w:kern w:val="44"/>
      <w:sz w:val="32"/>
      <w:szCs w:val="36"/>
    </w:rPr>
  </w:style>
  <w:style w:type="character" w:customStyle="1" w:styleId="69">
    <w:name w:val="acbfdd8b-e11b-4d36-88ff-6049b138f862 字符"/>
    <w:basedOn w:val="29"/>
    <w:link w:val="67"/>
    <w:uiPriority w:val="0"/>
    <w:rPr>
      <w:rFonts w:ascii="微软雅黑" w:hAnsi="微软雅黑" w:eastAsia="微软雅黑"/>
      <w:b w:val="0"/>
      <w:color w:val="000000"/>
      <w:kern w:val="2"/>
      <w:sz w:val="22"/>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2184B-B392-4528-A86B-A0D90334A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21424</Words>
  <Characters>23740</Characters>
  <Lines>194</Lines>
  <Paragraphs>54</Paragraphs>
  <TotalTime>1</TotalTime>
  <ScaleCrop>false</ScaleCrop>
  <LinksUpToDate>false</LinksUpToDate>
  <CharactersWithSpaces>24635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2024-05-10T08:27:00Z</dcterms:created>
  <dc:creator>宋继海</dc:creator>
  <cp:lastModifiedBy>Ccyu.</cp:lastModifiedBy>
  <dcterms:modified xsi:type="dcterms:W3CDTF">2024-05-10T14:40:32Z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3E8C2794FF684C44AEB70BBC592D3CAB</vt:lpwstr>
  </property>
</Properties>
</file>