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5DE73">
      <w:pPr>
        <w:spacing w:line="360" w:lineRule="auto"/>
        <w:ind w:firstLine="560"/>
        <w:rPr>
          <w:rFonts w:eastAsia="仿宋_GB2312"/>
          <w:sz w:val="28"/>
          <w:szCs w:val="28"/>
        </w:rPr>
      </w:pPr>
      <w:bookmarkStart w:id="0" w:name="_Hlk97121947"/>
    </w:p>
    <w:p w14:paraId="418A7B74">
      <w:pPr>
        <w:pStyle w:val="6"/>
      </w:pPr>
    </w:p>
    <w:p w14:paraId="656BC37B">
      <w:pPr>
        <w:spacing w:line="360" w:lineRule="auto"/>
        <w:rPr>
          <w:rFonts w:eastAsia="仿宋_GB2312"/>
          <w:sz w:val="28"/>
          <w:szCs w:val="28"/>
        </w:rPr>
      </w:pPr>
    </w:p>
    <w:p w14:paraId="7535CAEC">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bookmarkStart w:id="1" w:name="_Toc227057880"/>
    </w:p>
    <w:p w14:paraId="256A1949">
      <w:pPr>
        <w:spacing w:after="120" w:line="360" w:lineRule="auto"/>
        <w:jc w:val="center"/>
        <w:rPr>
          <w:rFonts w:ascii="黑体" w:hAnsi="宋体" w:eastAsia="黑体"/>
          <w:sz w:val="44"/>
          <w:szCs w:val="44"/>
        </w:rPr>
      </w:pPr>
      <w:r>
        <w:rPr>
          <w:rFonts w:hint="eastAsia" w:ascii="黑体" w:hAnsi="宋体" w:eastAsia="黑体"/>
          <w:sz w:val="44"/>
          <w:szCs w:val="44"/>
        </w:rPr>
        <w:t>O域系统适老化改造项目</w:t>
      </w:r>
    </w:p>
    <w:p w14:paraId="6FA3E1FE">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14:paraId="1743D2E3">
      <w:pPr>
        <w:jc w:val="center"/>
        <w:rPr>
          <w:rFonts w:ascii="仿宋_GB2312" w:hAnsi="宋体" w:eastAsia="仿宋_GB2312"/>
          <w:b/>
          <w:sz w:val="32"/>
          <w:szCs w:val="32"/>
        </w:rPr>
      </w:pPr>
    </w:p>
    <w:p w14:paraId="1627C2C5">
      <w:pPr>
        <w:jc w:val="center"/>
        <w:rPr>
          <w:rFonts w:ascii="仿宋_GB2312" w:hAnsi="宋体" w:eastAsia="仿宋_GB2312"/>
          <w:b/>
          <w:sz w:val="32"/>
          <w:szCs w:val="32"/>
        </w:rPr>
      </w:pPr>
    </w:p>
    <w:p w14:paraId="421D05F1">
      <w:pPr>
        <w:jc w:val="center"/>
        <w:rPr>
          <w:rFonts w:ascii="仿宋_GB2312" w:hAnsi="宋体" w:eastAsia="仿宋_GB2312"/>
          <w:b/>
          <w:sz w:val="32"/>
          <w:szCs w:val="32"/>
        </w:rPr>
      </w:pPr>
      <w:r>
        <w:rPr>
          <w:rFonts w:hint="eastAsia"/>
          <w:b/>
          <w:bCs/>
          <w:color w:val="000000" w:themeColor="text1"/>
          <w:sz w:val="32"/>
          <w:szCs w:val="32"/>
        </w:rPr>
        <w:t>编号：</w:t>
      </w:r>
      <w:r>
        <w:rPr>
          <w:rFonts w:hint="eastAsia"/>
          <w:b/>
          <w:bCs/>
          <w:color w:val="FF0000"/>
          <w:sz w:val="32"/>
          <w:szCs w:val="32"/>
        </w:rPr>
        <w:t>JSCN2024[098]</w:t>
      </w:r>
    </w:p>
    <w:p w14:paraId="73AB42D3">
      <w:pPr>
        <w:spacing w:after="120" w:line="360" w:lineRule="auto"/>
        <w:jc w:val="center"/>
        <w:rPr>
          <w:rFonts w:ascii="仿宋_GB2312" w:hAnsi="宋体" w:eastAsia="仿宋_GB2312"/>
          <w:b/>
          <w:sz w:val="32"/>
          <w:szCs w:val="32"/>
        </w:rPr>
      </w:pPr>
    </w:p>
    <w:p w14:paraId="081D4957">
      <w:pPr>
        <w:spacing w:after="120" w:line="360" w:lineRule="auto"/>
        <w:jc w:val="center"/>
        <w:rPr>
          <w:rFonts w:ascii="仿宋_GB2312" w:hAnsi="宋体" w:eastAsia="仿宋_GB2312"/>
          <w:b/>
          <w:sz w:val="32"/>
          <w:szCs w:val="32"/>
        </w:rPr>
      </w:pPr>
    </w:p>
    <w:p w14:paraId="387D26CC">
      <w:pPr>
        <w:spacing w:after="120" w:line="360" w:lineRule="auto"/>
        <w:jc w:val="center"/>
        <w:rPr>
          <w:rFonts w:ascii="仿宋_GB2312" w:hAnsi="宋体" w:eastAsia="仿宋_GB2312"/>
          <w:b/>
          <w:sz w:val="32"/>
          <w:szCs w:val="32"/>
        </w:rPr>
      </w:pPr>
    </w:p>
    <w:p w14:paraId="79777570">
      <w:pPr>
        <w:spacing w:after="120" w:line="360" w:lineRule="auto"/>
        <w:jc w:val="center"/>
        <w:rPr>
          <w:rFonts w:ascii="仿宋_GB2312" w:hAnsi="宋体" w:eastAsia="仿宋_GB2312"/>
          <w:b/>
          <w:sz w:val="32"/>
          <w:szCs w:val="32"/>
        </w:rPr>
      </w:pPr>
    </w:p>
    <w:p w14:paraId="4E425F2C">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14:paraId="6BCB3507">
      <w:pPr>
        <w:pStyle w:val="21"/>
        <w:adjustRightInd w:val="0"/>
        <w:snapToGrid w:val="0"/>
        <w:spacing w:beforeLines="100" w:afterLines="100"/>
        <w:ind w:left="210" w:leftChars="100" w:right="210" w:rightChars="100" w:firstLine="562" w:firstLineChars="200"/>
        <w:jc w:val="center"/>
        <w:rPr>
          <w:b/>
          <w:bCs/>
          <w:szCs w:val="28"/>
        </w:rPr>
      </w:pPr>
      <w:r>
        <w:rPr>
          <w:rFonts w:hint="eastAsia"/>
          <w:b/>
          <w:szCs w:val="28"/>
        </w:rPr>
        <w:t>二〇二五年一月</w:t>
      </w:r>
    </w:p>
    <w:p w14:paraId="5024AF7D">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3CB11A83">
      <w:pPr>
        <w:spacing w:after="120" w:line="360" w:lineRule="atLeast"/>
        <w:jc w:val="center"/>
      </w:pPr>
    </w:p>
    <w:p w14:paraId="4CA965E9">
      <w:pPr>
        <w:pStyle w:val="118"/>
        <w:numPr>
          <w:ilvl w:val="0"/>
          <w:numId w:val="0"/>
        </w:numPr>
        <w:ind w:left="288"/>
        <w:jc w:val="center"/>
      </w:pPr>
      <w:r>
        <w:rPr>
          <w:rFonts w:ascii="宋体" w:hAnsi="宋体" w:eastAsia="宋体"/>
          <w:color w:val="auto"/>
          <w:sz w:val="30"/>
          <w:szCs w:val="30"/>
          <w:lang w:val="zh-CN"/>
        </w:rPr>
        <w:t>目录</w:t>
      </w:r>
    </w:p>
    <w:p w14:paraId="6B9DA32C">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14:paraId="5FC3BBBA">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end"/>
      </w:r>
      <w:r>
        <w:rPr>
          <w:rFonts w:hint="eastAsia"/>
        </w:rPr>
        <w:t>6</w:t>
      </w:r>
    </w:p>
    <w:p w14:paraId="34577D02">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14:paraId="414A6B3F">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14:paraId="48A8DA12">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6</w:t>
      </w:r>
    </w:p>
    <w:p w14:paraId="4B85E4B5">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rPr>
          <w:rFonts w:hint="eastAsia"/>
        </w:rPr>
        <w:t>3</w:t>
      </w:r>
      <w:r>
        <w:rPr>
          <w:rFonts w:hint="eastAsia"/>
        </w:rPr>
        <w:fldChar w:fldCharType="end"/>
      </w:r>
      <w:r>
        <w:rPr>
          <w:rFonts w:hint="eastAsia"/>
        </w:rPr>
        <w:t>8</w:t>
      </w:r>
    </w:p>
    <w:p w14:paraId="26AC041F">
      <w:pPr>
        <w:pStyle w:val="38"/>
        <w:rPr>
          <w:rFonts w:ascii="Calibri" w:hAnsi="Calibri" w:eastAsia="宋体"/>
          <w:caps w:val="0"/>
          <w:kern w:val="2"/>
          <w:szCs w:val="22"/>
        </w:rPr>
      </w:pPr>
      <w:r>
        <w:rPr>
          <w:rFonts w:ascii="宋体" w:hAnsi="宋体" w:eastAsia="宋体"/>
          <w:sz w:val="20"/>
          <w:szCs w:val="20"/>
        </w:rPr>
        <w:fldChar w:fldCharType="end"/>
      </w:r>
    </w:p>
    <w:p w14:paraId="4E080216">
      <w:pPr>
        <w:widowControl/>
        <w:jc w:val="left"/>
        <w:rPr>
          <w:rFonts w:eastAsia="黑体"/>
          <w:bCs/>
          <w:kern w:val="44"/>
          <w:sz w:val="30"/>
          <w:szCs w:val="44"/>
        </w:rPr>
      </w:pPr>
      <w:r>
        <w:br w:type="page"/>
      </w:r>
    </w:p>
    <w:p w14:paraId="03267BE1">
      <w:pPr>
        <w:pStyle w:val="2"/>
        <w:numPr>
          <w:ilvl w:val="0"/>
          <w:numId w:val="0"/>
        </w:numPr>
        <w:spacing w:before="0" w:after="0" w:line="360" w:lineRule="auto"/>
        <w:rPr>
          <w:b/>
          <w:sz w:val="36"/>
          <w:szCs w:val="36"/>
        </w:rPr>
      </w:pPr>
      <w:bookmarkStart w:id="2" w:name="_Toc69378615"/>
      <w:r>
        <w:rPr>
          <w:rFonts w:hint="eastAsia"/>
          <w:b/>
          <w:sz w:val="36"/>
          <w:szCs w:val="36"/>
        </w:rPr>
        <w:t>第一章竞争性谈判公告</w:t>
      </w:r>
      <w:bookmarkEnd w:id="2"/>
    </w:p>
    <w:bookmarkEnd w:id="1"/>
    <w:p w14:paraId="118D43B9">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“O域系统适老化改造项目”</w:t>
      </w:r>
      <w:r>
        <w:rPr>
          <w:rFonts w:hint="eastAsia" w:ascii="宋体" w:hAnsi="宋体" w:cs="宋体"/>
          <w:bCs/>
          <w:kern w:val="0"/>
          <w:sz w:val="24"/>
        </w:rPr>
        <w:t>组织竞争性谈判采购，现欢迎符合资格条件的供应商参加报价和谈判。</w:t>
      </w:r>
    </w:p>
    <w:p w14:paraId="4410F6C9">
      <w:pPr>
        <w:spacing w:line="360" w:lineRule="auto"/>
        <w:ind w:firstLine="482" w:firstLineChars="200"/>
        <w:rPr>
          <w:rFonts w:ascii="宋体" w:hAnsi="宋体"/>
          <w:b/>
          <w:sz w:val="24"/>
        </w:rPr>
      </w:pPr>
      <w:r>
        <w:rPr>
          <w:rFonts w:hint="eastAsia" w:ascii="宋体" w:hAnsi="宋体" w:cs="宋体"/>
          <w:b/>
          <w:kern w:val="0"/>
          <w:sz w:val="24"/>
        </w:rPr>
        <w:t>一、项目概况</w:t>
      </w:r>
    </w:p>
    <w:p w14:paraId="1FE1ADAE">
      <w:pPr>
        <w:spacing w:line="360" w:lineRule="auto"/>
        <w:ind w:firstLine="480" w:firstLineChars="200"/>
        <w:rPr>
          <w:rFonts w:ascii="宋体" w:hAnsi="宋体" w:cs="宋体"/>
          <w:bCs/>
          <w:kern w:val="0"/>
          <w:sz w:val="24"/>
        </w:rPr>
      </w:pPr>
      <w:r>
        <w:rPr>
          <w:rFonts w:hint="eastAsia" w:ascii="宋体" w:hAnsi="宋体" w:cs="宋体"/>
          <w:bCs/>
          <w:kern w:val="0"/>
          <w:sz w:val="24"/>
        </w:rPr>
        <w:t>本项目预计在现有O域系统（客服系统、工单系统、话务平台）上，新增适老化流程，并根据需求对原有系统进行定制化开发改造。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41"/>
        <w:gridCol w:w="1837"/>
        <w:gridCol w:w="1843"/>
      </w:tblGrid>
      <w:tr w14:paraId="4BE2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tcPr>
          <w:p w14:paraId="01191CA4">
            <w:pPr>
              <w:spacing w:line="400" w:lineRule="exact"/>
              <w:jc w:val="center"/>
              <w:rPr>
                <w:rFonts w:ascii="宋体" w:hAnsi="宋体" w:cs="宋体"/>
                <w:bCs/>
                <w:kern w:val="0"/>
                <w:sz w:val="24"/>
              </w:rPr>
            </w:pPr>
            <w:r>
              <w:rPr>
                <w:rFonts w:ascii="宋体" w:hAnsi="宋体" w:cs="宋体"/>
                <w:bCs/>
                <w:kern w:val="0"/>
                <w:sz w:val="24"/>
              </w:rPr>
              <w:t>序号</w:t>
            </w:r>
          </w:p>
        </w:tc>
        <w:tc>
          <w:tcPr>
            <w:tcW w:w="2841" w:type="dxa"/>
          </w:tcPr>
          <w:p w14:paraId="5DAE1FF8">
            <w:pPr>
              <w:spacing w:line="400" w:lineRule="exact"/>
              <w:jc w:val="center"/>
              <w:rPr>
                <w:rFonts w:ascii="宋体" w:hAnsi="宋体" w:cs="宋体"/>
                <w:bCs/>
                <w:kern w:val="0"/>
                <w:sz w:val="24"/>
              </w:rPr>
            </w:pPr>
            <w:r>
              <w:rPr>
                <w:rFonts w:hint="eastAsia" w:ascii="宋体" w:hAnsi="宋体" w:cs="宋体"/>
                <w:bCs/>
                <w:kern w:val="0"/>
                <w:sz w:val="24"/>
              </w:rPr>
              <w:t>产品</w:t>
            </w:r>
            <w:r>
              <w:rPr>
                <w:rFonts w:ascii="宋体" w:hAnsi="宋体" w:cs="宋体"/>
                <w:bCs/>
                <w:kern w:val="0"/>
                <w:sz w:val="24"/>
              </w:rPr>
              <w:t>名称</w:t>
            </w:r>
          </w:p>
        </w:tc>
        <w:tc>
          <w:tcPr>
            <w:tcW w:w="1837" w:type="dxa"/>
          </w:tcPr>
          <w:p w14:paraId="0191C92D">
            <w:pPr>
              <w:spacing w:line="400" w:lineRule="exact"/>
              <w:jc w:val="center"/>
              <w:rPr>
                <w:rFonts w:ascii="宋体" w:hAnsi="宋体" w:cs="宋体"/>
                <w:bCs/>
                <w:kern w:val="0"/>
                <w:sz w:val="24"/>
              </w:rPr>
            </w:pPr>
            <w:r>
              <w:rPr>
                <w:rFonts w:ascii="宋体" w:hAnsi="宋体" w:cs="宋体"/>
                <w:bCs/>
                <w:kern w:val="0"/>
                <w:sz w:val="24"/>
              </w:rPr>
              <w:t>数量</w:t>
            </w:r>
          </w:p>
        </w:tc>
        <w:tc>
          <w:tcPr>
            <w:tcW w:w="1843" w:type="dxa"/>
          </w:tcPr>
          <w:p w14:paraId="3C3C4233">
            <w:pPr>
              <w:spacing w:line="400" w:lineRule="exact"/>
              <w:jc w:val="center"/>
              <w:rPr>
                <w:rFonts w:ascii="宋体" w:hAnsi="宋体" w:cs="宋体"/>
                <w:bCs/>
                <w:kern w:val="0"/>
                <w:sz w:val="24"/>
              </w:rPr>
            </w:pPr>
            <w:r>
              <w:rPr>
                <w:rFonts w:hint="eastAsia" w:ascii="宋体" w:hAnsi="宋体" w:cs="宋体"/>
                <w:bCs/>
                <w:kern w:val="0"/>
                <w:sz w:val="24"/>
              </w:rPr>
              <w:t>单位</w:t>
            </w:r>
          </w:p>
        </w:tc>
      </w:tr>
      <w:tr w14:paraId="602E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271" w:type="dxa"/>
            <w:vAlign w:val="center"/>
          </w:tcPr>
          <w:p w14:paraId="0A96F061">
            <w:pPr>
              <w:spacing w:line="400" w:lineRule="exact"/>
              <w:jc w:val="center"/>
              <w:rPr>
                <w:rFonts w:ascii="宋体" w:hAnsi="宋体" w:cs="宋体"/>
                <w:bCs/>
                <w:kern w:val="0"/>
                <w:sz w:val="24"/>
              </w:rPr>
            </w:pPr>
            <w:r>
              <w:rPr>
                <w:rFonts w:hint="eastAsia" w:ascii="宋体" w:hAnsi="宋体" w:cs="宋体"/>
                <w:bCs/>
                <w:kern w:val="0"/>
                <w:sz w:val="24"/>
              </w:rPr>
              <w:t>1</w:t>
            </w:r>
          </w:p>
        </w:tc>
        <w:tc>
          <w:tcPr>
            <w:tcW w:w="2841" w:type="dxa"/>
            <w:vAlign w:val="center"/>
          </w:tcPr>
          <w:p w14:paraId="7E6A8B58">
            <w:pPr>
              <w:spacing w:line="400" w:lineRule="exact"/>
              <w:jc w:val="center"/>
              <w:rPr>
                <w:rFonts w:ascii="宋体" w:hAnsi="宋体" w:cs="宋体"/>
                <w:bCs/>
                <w:kern w:val="0"/>
                <w:sz w:val="24"/>
              </w:rPr>
            </w:pPr>
            <w:r>
              <w:rPr>
                <w:rFonts w:hint="eastAsia" w:ascii="宋体" w:hAnsi="宋体" w:cs="宋体"/>
                <w:bCs/>
                <w:kern w:val="0"/>
                <w:sz w:val="24"/>
              </w:rPr>
              <w:t>O域系统适老化改造项目</w:t>
            </w:r>
          </w:p>
        </w:tc>
        <w:tc>
          <w:tcPr>
            <w:tcW w:w="1837" w:type="dxa"/>
            <w:vAlign w:val="center"/>
          </w:tcPr>
          <w:p w14:paraId="4C5C89D5">
            <w:pPr>
              <w:spacing w:line="400" w:lineRule="exact"/>
              <w:jc w:val="center"/>
              <w:rPr>
                <w:rFonts w:ascii="宋体" w:hAnsi="宋体" w:cs="宋体"/>
                <w:bCs/>
                <w:kern w:val="0"/>
                <w:sz w:val="24"/>
              </w:rPr>
            </w:pPr>
            <w:r>
              <w:rPr>
                <w:rFonts w:hint="eastAsia" w:ascii="宋体" w:hAnsi="宋体" w:cs="宋体"/>
                <w:bCs/>
                <w:kern w:val="0"/>
                <w:sz w:val="24"/>
              </w:rPr>
              <w:t>1</w:t>
            </w:r>
          </w:p>
        </w:tc>
        <w:tc>
          <w:tcPr>
            <w:tcW w:w="1843" w:type="dxa"/>
            <w:vAlign w:val="center"/>
          </w:tcPr>
          <w:p w14:paraId="6AEEFC97">
            <w:pPr>
              <w:spacing w:line="400" w:lineRule="exact"/>
              <w:jc w:val="center"/>
              <w:rPr>
                <w:rFonts w:ascii="宋体" w:hAnsi="宋体" w:cs="宋体"/>
                <w:bCs/>
                <w:kern w:val="0"/>
                <w:sz w:val="24"/>
              </w:rPr>
            </w:pPr>
            <w:r>
              <w:rPr>
                <w:rFonts w:hint="eastAsia" w:ascii="宋体" w:hAnsi="宋体" w:cs="宋体"/>
                <w:bCs/>
                <w:kern w:val="0"/>
                <w:sz w:val="24"/>
              </w:rPr>
              <w:t>套</w:t>
            </w:r>
          </w:p>
        </w:tc>
      </w:tr>
    </w:tbl>
    <w:p w14:paraId="683F5954">
      <w:pPr>
        <w:pStyle w:val="29"/>
      </w:pPr>
    </w:p>
    <w:p w14:paraId="10898B04">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14:paraId="26BDA096">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13B44514">
      <w:pPr>
        <w:numPr>
          <w:ilvl w:val="255"/>
          <w:numId w:val="0"/>
        </w:numPr>
        <w:spacing w:line="360" w:lineRule="auto"/>
        <w:ind w:firstLine="482" w:firstLineChars="200"/>
      </w:pPr>
      <w:r>
        <w:rPr>
          <w:rFonts w:hint="eastAsia" w:ascii="宋体" w:hAnsi="宋体"/>
          <w:b/>
          <w:sz w:val="24"/>
        </w:rPr>
        <w:t>三、合格供应商的基本资格要求</w:t>
      </w:r>
    </w:p>
    <w:p w14:paraId="1F6829BB">
      <w:pPr>
        <w:spacing w:line="360" w:lineRule="auto"/>
        <w:ind w:firstLine="480" w:firstLineChars="200"/>
        <w:jc w:val="left"/>
        <w:rPr>
          <w:rFonts w:ascii="宋体" w:hAnsi="宋体" w:cs="宋体"/>
          <w:kern w:val="0"/>
          <w:sz w:val="24"/>
          <w:szCs w:val="22"/>
        </w:rPr>
      </w:pPr>
      <w:bookmarkStart w:id="3"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bookmarkStart w:id="4" w:name="_Hlk143856894"/>
    </w:p>
    <w:bookmarkEnd w:id="4"/>
    <w:p w14:paraId="079C98A7">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2、供应商须具有良好的业绩和经验，自2022年1月1日至响应截止日（以合同签订时间为准）实施过与所投内容类似的项目（提供合同复印件等证明文件）。</w:t>
      </w:r>
    </w:p>
    <w:p w14:paraId="700EA4DE">
      <w:pPr>
        <w:spacing w:line="360" w:lineRule="auto"/>
        <w:ind w:firstLine="480" w:firstLineChars="200"/>
        <w:jc w:val="left"/>
        <w:rPr>
          <w:rFonts w:ascii="宋体" w:hAnsi="宋体" w:cs="宋体"/>
          <w:kern w:val="0"/>
          <w:sz w:val="24"/>
          <w:szCs w:val="22"/>
        </w:rPr>
      </w:pPr>
      <w:r>
        <w:rPr>
          <w:rFonts w:hint="eastAsia" w:hAnsi="宋体" w:cs="宋体"/>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kern w:val="0"/>
          <w:sz w:val="24"/>
          <w:szCs w:val="22"/>
        </w:rPr>
        <w:t>。</w:t>
      </w:r>
    </w:p>
    <w:p w14:paraId="2EFB97E6">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4、供应商须提供制造商对其所响应货物直接保修和服务的承诺。</w:t>
      </w:r>
    </w:p>
    <w:p w14:paraId="4638FCFB">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14:paraId="638FF7D5">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包括制造商）依法承担全部责任。（提供承诺函）</w:t>
      </w:r>
    </w:p>
    <w:bookmarkEnd w:id="3"/>
    <w:p w14:paraId="0910A3F8">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四、竞争性谈判文件的获取</w:t>
      </w:r>
    </w:p>
    <w:p w14:paraId="4FD55A6D">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发布及登记时间：2025年1月7日至2025年1月14日止，每日上午9：00-12：00，下午14：00-17：00（北京时间）。</w:t>
      </w:r>
    </w:p>
    <w:p w14:paraId="2287A82E">
      <w:pPr>
        <w:widowControl/>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发放方式：竞争性谈判文件在报名后自行下载，请响应供应商联系采购人进行报名登记，具体报名方式为将响应函（详见第六章 竞争性谈判响应文件格式附件1：响应函）加盖公司公章同时发至邮箱caoting@jscnnet.com未在文件发放日内完成登记的不得参与本项目。</w:t>
      </w:r>
    </w:p>
    <w:p w14:paraId="025C8C04">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登记方式：请响应人将该项目负责人姓名、联系电话（手机）、联系信箱发至采购人，超过2025年1月14日下午17:00再登记的视为无效。</w:t>
      </w:r>
    </w:p>
    <w:p w14:paraId="61253076">
      <w:pPr>
        <w:widowControl/>
        <w:spacing w:before="100" w:beforeAutospacing="1" w:after="100" w:afterAutospacing="1"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项目联系人：单秋晨：19231897233</w:t>
      </w:r>
    </w:p>
    <w:p w14:paraId="12FD01DC">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递交竞争性谈判响应文件截止时间：2025年1月17日下午2:00，逾期收到或不按照竞争性谈判文件要求密封的响应文件恕不接受。</w:t>
      </w:r>
    </w:p>
    <w:p w14:paraId="4341B7ED">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递交竞争性谈判响应文件地点：南京市玄武区运粮河西路</w:t>
      </w:r>
      <w:r>
        <w:rPr>
          <w:rFonts w:ascii="宋体" w:hAnsi="宋体" w:eastAsia="微软雅黑" w:cs="宋体"/>
          <w:color w:val="191919"/>
          <w:kern w:val="0"/>
          <w:sz w:val="24"/>
          <w:szCs w:val="24"/>
          <w:shd w:val="clear" w:color="auto" w:fill="FFFFFF"/>
        </w:rPr>
        <w:t>101</w:t>
      </w:r>
      <w:r>
        <w:rPr>
          <w:rFonts w:hint="eastAsia" w:ascii="宋体" w:hAnsi="宋体" w:eastAsia="宋体" w:cs="宋体"/>
          <w:color w:val="191919"/>
          <w:kern w:val="0"/>
          <w:sz w:val="24"/>
          <w:szCs w:val="24"/>
          <w:shd w:val="clear" w:color="auto" w:fill="FFFFFF"/>
        </w:rPr>
        <w:t>号</w:t>
      </w:r>
      <w:r>
        <w:rPr>
          <w:rFonts w:ascii="宋体" w:hAnsi="宋体" w:eastAsia="微软雅黑" w:cs="宋体"/>
          <w:color w:val="191919"/>
          <w:kern w:val="0"/>
          <w:sz w:val="24"/>
          <w:szCs w:val="24"/>
          <w:shd w:val="clear" w:color="auto" w:fill="FFFFFF"/>
        </w:rPr>
        <w:t>1</w:t>
      </w:r>
      <w:r>
        <w:rPr>
          <w:rFonts w:hint="eastAsia" w:ascii="宋体" w:hAnsi="宋体" w:eastAsia="宋体" w:cs="宋体"/>
          <w:color w:val="191919"/>
          <w:kern w:val="0"/>
          <w:sz w:val="24"/>
          <w:szCs w:val="24"/>
          <w:shd w:val="clear" w:color="auto" w:fill="FFFFFF"/>
        </w:rPr>
        <w:t>号楼4楼技术中心。</w:t>
      </w:r>
    </w:p>
    <w:p w14:paraId="79A02955">
      <w:pPr>
        <w:widowControl/>
        <w:spacing w:before="100" w:beforeAutospacing="1" w:after="100" w:afterAutospacing="1" w:line="360" w:lineRule="auto"/>
        <w:ind w:firstLine="420"/>
        <w:jc w:val="left"/>
        <w:rPr>
          <w:rFonts w:ascii="宋体" w:hAnsi="宋体" w:eastAsia="宋体" w:cs="宋体"/>
          <w:kern w:val="0"/>
          <w:sz w:val="24"/>
          <w:szCs w:val="24"/>
        </w:rPr>
      </w:pPr>
      <w:r>
        <w:rPr>
          <w:rFonts w:hint="eastAsia" w:ascii="宋体" w:hAnsi="宋体" w:eastAsia="宋体" w:cs="宋体"/>
          <w:color w:val="191919"/>
          <w:kern w:val="0"/>
          <w:sz w:val="24"/>
          <w:szCs w:val="24"/>
          <w:shd w:val="clear" w:color="auto" w:fill="FFFFFF"/>
        </w:rPr>
        <w:t>响应文件接收人：曹婷</w:t>
      </w:r>
      <w:r>
        <w:rPr>
          <w:rFonts w:hint="eastAsia" w:ascii="宋体" w:hAnsi="宋体" w:eastAsia="宋体" w:cs="宋体"/>
          <w:color w:val="191919"/>
          <w:kern w:val="0"/>
          <w:sz w:val="24"/>
          <w:szCs w:val="24"/>
        </w:rPr>
        <w:t>，电话：025-</w:t>
      </w:r>
      <w:r>
        <w:rPr>
          <w:rFonts w:hint="eastAsia" w:ascii="宋体" w:hAnsi="宋体" w:eastAsia="宋体" w:cs="宋体"/>
          <w:color w:val="000000" w:themeColor="text1"/>
          <w:kern w:val="0"/>
          <w:sz w:val="24"/>
          <w:szCs w:val="24"/>
          <w:shd w:val="clear" w:color="auto" w:fill="FFFFFF"/>
        </w:rPr>
        <w:t>87231592</w:t>
      </w:r>
      <w:r>
        <w:rPr>
          <w:rFonts w:hint="eastAsia" w:ascii="宋体" w:hAnsi="宋体" w:eastAsia="宋体" w:cs="宋体"/>
          <w:color w:val="191919"/>
          <w:kern w:val="0"/>
          <w:sz w:val="24"/>
          <w:szCs w:val="24"/>
        </w:rPr>
        <w:t>。</w:t>
      </w:r>
    </w:p>
    <w:p w14:paraId="1990112A">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191919"/>
          <w:kern w:val="0"/>
          <w:sz w:val="24"/>
          <w:szCs w:val="24"/>
          <w:shd w:val="clear" w:color="auto" w:fill="FFFFFF"/>
        </w:rPr>
        <w:t>竞争性谈判时间：</w:t>
      </w:r>
      <w:r>
        <w:rPr>
          <w:rFonts w:hint="eastAsia" w:ascii="宋体" w:hAnsi="宋体" w:eastAsia="宋体" w:cs="宋体"/>
          <w:color w:val="auto"/>
          <w:kern w:val="0"/>
          <w:sz w:val="24"/>
          <w:szCs w:val="24"/>
          <w:shd w:val="clear" w:color="auto" w:fill="FFFFFF"/>
        </w:rPr>
        <w:t>2025年1月17日下午2点。</w:t>
      </w:r>
    </w:p>
    <w:p w14:paraId="6D45D4AB">
      <w:pPr>
        <w:widowControl/>
        <w:spacing w:line="360" w:lineRule="auto"/>
        <w:ind w:firstLine="420"/>
        <w:jc w:val="left"/>
      </w:pPr>
      <w:r>
        <w:rPr>
          <w:rFonts w:hint="eastAsia" w:ascii="宋体" w:hAnsi="宋体" w:eastAsia="宋体" w:cs="宋体"/>
          <w:color w:val="191919"/>
          <w:kern w:val="0"/>
          <w:sz w:val="24"/>
          <w:szCs w:val="24"/>
          <w:shd w:val="clear" w:color="auto" w:fill="FFFFFF"/>
        </w:rPr>
        <w:t>竞争性谈判地点：南京市玄武区运粮河西路</w:t>
      </w:r>
      <w:r>
        <w:rPr>
          <w:rFonts w:ascii="宋体" w:hAnsi="宋体" w:eastAsia="微软雅黑" w:cs="宋体"/>
          <w:color w:val="191919"/>
          <w:kern w:val="0"/>
          <w:sz w:val="24"/>
          <w:szCs w:val="24"/>
          <w:shd w:val="clear" w:color="auto" w:fill="FFFFFF"/>
        </w:rPr>
        <w:t>101</w:t>
      </w:r>
      <w:r>
        <w:rPr>
          <w:rFonts w:hint="eastAsia" w:ascii="宋体" w:hAnsi="宋体" w:eastAsia="宋体" w:cs="宋体"/>
          <w:color w:val="191919"/>
          <w:kern w:val="0"/>
          <w:sz w:val="24"/>
          <w:szCs w:val="24"/>
          <w:shd w:val="clear" w:color="auto" w:fill="FFFFFF"/>
        </w:rPr>
        <w:t>号</w:t>
      </w:r>
      <w:r>
        <w:rPr>
          <w:rFonts w:ascii="宋体" w:hAnsi="宋体" w:eastAsia="微软雅黑" w:cs="宋体"/>
          <w:color w:val="191919"/>
          <w:kern w:val="0"/>
          <w:sz w:val="24"/>
          <w:szCs w:val="24"/>
          <w:shd w:val="clear" w:color="auto" w:fill="FFFFFF"/>
        </w:rPr>
        <w:t>1</w:t>
      </w:r>
      <w:r>
        <w:rPr>
          <w:rFonts w:hint="eastAsia" w:ascii="宋体" w:hAnsi="宋体" w:eastAsia="宋体" w:cs="宋体"/>
          <w:color w:val="191919"/>
          <w:kern w:val="0"/>
          <w:sz w:val="24"/>
          <w:szCs w:val="24"/>
          <w:shd w:val="clear" w:color="auto" w:fill="FFFFFF"/>
        </w:rPr>
        <w:t>号楼4楼会议室。</w:t>
      </w:r>
    </w:p>
    <w:p w14:paraId="0822D234">
      <w:pPr>
        <w:widowControl/>
        <w:spacing w:line="360" w:lineRule="auto"/>
        <w:ind w:firstLine="482" w:firstLineChars="200"/>
        <w:jc w:val="left"/>
      </w:pPr>
      <w:r>
        <w:rPr>
          <w:rFonts w:hint="eastAsia" w:ascii="宋体" w:hAnsi="宋体" w:cs="宋体"/>
          <w:b/>
          <w:bCs/>
          <w:color w:val="191919"/>
          <w:kern w:val="0"/>
          <w:sz w:val="24"/>
          <w:shd w:val="clear" w:color="auto" w:fill="FFFFFF"/>
          <w:lang w:val="en-US" w:eastAsia="zh-CN"/>
        </w:rPr>
        <w:t>五</w:t>
      </w:r>
      <w:r>
        <w:rPr>
          <w:rFonts w:hint="eastAsia" w:ascii="宋体" w:hAnsi="宋体" w:cs="宋体"/>
          <w:b/>
          <w:bCs/>
          <w:color w:val="191919"/>
          <w:kern w:val="0"/>
          <w:sz w:val="24"/>
          <w:shd w:val="clear" w:color="auto" w:fill="FFFFFF"/>
        </w:rPr>
        <w:t>、发布公告的媒介</w:t>
      </w:r>
    </w:p>
    <w:p w14:paraId="3B76E4B2">
      <w:pPr>
        <w:widowControl/>
        <w:spacing w:line="360" w:lineRule="auto"/>
        <w:ind w:firstLine="420"/>
        <w:jc w:val="left"/>
      </w:pPr>
      <w:r>
        <w:rPr>
          <w:rFonts w:hint="eastAsia" w:ascii="宋体" w:hAnsi="宋体" w:cs="宋体"/>
          <w:color w:val="191919"/>
          <w:kern w:val="0"/>
          <w:sz w:val="24"/>
          <w:shd w:val="clear" w:color="auto" w:fill="FFFFFF"/>
        </w:rPr>
        <w:t>本次采购事宜相关公告同时在江苏省广电有线信息网络股份有限公司官网（www.jscnnet.com）“招标采购”栏目、中国招标投标公共服务平台（http://www.cebpubservice.com/）及中国采购与招标网（https://www.chinabidding.com.cn/）上发布</w:t>
      </w:r>
      <w:bookmarkStart w:id="92" w:name="_GoBack"/>
      <w:bookmarkEnd w:id="92"/>
      <w:r>
        <w:rPr>
          <w:rFonts w:hint="eastAsia" w:ascii="宋体" w:hAnsi="宋体" w:cs="宋体"/>
          <w:color w:val="191919"/>
          <w:kern w:val="0"/>
          <w:sz w:val="24"/>
          <w:shd w:val="clear" w:color="auto" w:fill="FFFFFF"/>
        </w:rPr>
        <w:t>。</w:t>
      </w:r>
    </w:p>
    <w:p w14:paraId="0E1B1C5D">
      <w:pPr>
        <w:spacing w:line="360" w:lineRule="auto"/>
        <w:ind w:firstLine="482" w:firstLineChars="200"/>
        <w:rPr>
          <w:rFonts w:ascii="宋体" w:hAnsi="宋体" w:cs="宋体"/>
          <w:b/>
          <w:kern w:val="0"/>
          <w:sz w:val="24"/>
        </w:rPr>
      </w:pPr>
      <w:r>
        <w:rPr>
          <w:rFonts w:hint="eastAsia" w:ascii="宋体" w:hAnsi="宋体" w:cs="宋体"/>
          <w:b/>
          <w:kern w:val="0"/>
          <w:sz w:val="24"/>
          <w:lang w:val="en-US" w:eastAsia="zh-CN"/>
        </w:rPr>
        <w:t>六</w:t>
      </w:r>
      <w:r>
        <w:rPr>
          <w:rFonts w:hint="eastAsia" w:ascii="宋体" w:hAnsi="宋体" w:cs="宋体"/>
          <w:b/>
          <w:kern w:val="0"/>
          <w:sz w:val="24"/>
        </w:rPr>
        <w:t>、其他说明事项</w:t>
      </w:r>
    </w:p>
    <w:p w14:paraId="355E44F6">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5" w:name="bookmark1"/>
      <w:bookmarkEnd w:id="5"/>
      <w:r>
        <w:rPr>
          <w:rFonts w:hint="eastAsia" w:ascii="宋体" w:cs="宋体"/>
          <w:bCs/>
          <w:sz w:val="24"/>
        </w:rPr>
        <w:t>。</w:t>
      </w:r>
      <w:bookmarkEnd w:id="0"/>
      <w:r>
        <w:rPr>
          <w:rFonts w:ascii="宋体" w:hAnsi="宋体"/>
          <w:sz w:val="24"/>
        </w:rPr>
        <w:br w:type="page"/>
      </w:r>
    </w:p>
    <w:p w14:paraId="7D2EF114">
      <w:pPr>
        <w:pStyle w:val="2"/>
        <w:numPr>
          <w:ilvl w:val="0"/>
          <w:numId w:val="0"/>
        </w:numPr>
        <w:spacing w:before="0" w:after="0" w:line="360" w:lineRule="auto"/>
        <w:rPr>
          <w:b/>
          <w:sz w:val="36"/>
          <w:szCs w:val="36"/>
        </w:rPr>
      </w:pPr>
      <w:bookmarkStart w:id="6" w:name="_Toc226969276"/>
      <w:bookmarkStart w:id="7" w:name="_Toc107822483"/>
      <w:bookmarkStart w:id="8" w:name="_Toc69378616"/>
      <w:bookmarkStart w:id="9" w:name="_Toc227057883"/>
      <w:r>
        <w:rPr>
          <w:rFonts w:hint="eastAsia"/>
          <w:b/>
          <w:sz w:val="36"/>
          <w:szCs w:val="36"/>
        </w:rPr>
        <w:t>第二章竞争性谈判</w:t>
      </w:r>
      <w:r>
        <w:rPr>
          <w:b/>
          <w:sz w:val="36"/>
          <w:szCs w:val="36"/>
        </w:rPr>
        <w:t>须知</w:t>
      </w:r>
    </w:p>
    <w:p w14:paraId="0952234C">
      <w:pPr>
        <w:jc w:val="center"/>
        <w:rPr>
          <w:sz w:val="28"/>
          <w:szCs w:val="28"/>
        </w:rPr>
      </w:pPr>
      <w:r>
        <w:rPr>
          <w:rFonts w:hint="eastAsia"/>
          <w:sz w:val="28"/>
          <w:szCs w:val="28"/>
        </w:rPr>
        <w:t>供应商须知前附表</w:t>
      </w:r>
    </w:p>
    <w:p w14:paraId="4667FE7F">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72F50E7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06E31CDE">
            <w:pPr>
              <w:spacing w:line="320" w:lineRule="exact"/>
              <w:jc w:val="center"/>
              <w:rPr>
                <w:b/>
                <w:sz w:val="24"/>
              </w:rPr>
            </w:pPr>
            <w:r>
              <w:rPr>
                <w:rFonts w:hint="eastAsia"/>
                <w:b/>
                <w:sz w:val="24"/>
              </w:rPr>
              <w:t>序号</w:t>
            </w:r>
          </w:p>
        </w:tc>
        <w:tc>
          <w:tcPr>
            <w:tcW w:w="501" w:type="pct"/>
            <w:tcBorders>
              <w:top w:val="single" w:color="auto" w:sz="6" w:space="0"/>
            </w:tcBorders>
            <w:vAlign w:val="center"/>
          </w:tcPr>
          <w:p w14:paraId="75082395">
            <w:pPr>
              <w:spacing w:line="320" w:lineRule="exact"/>
              <w:jc w:val="center"/>
              <w:rPr>
                <w:b/>
                <w:sz w:val="24"/>
              </w:rPr>
            </w:pPr>
            <w:r>
              <w:rPr>
                <w:rFonts w:hint="eastAsia"/>
                <w:b/>
                <w:sz w:val="24"/>
              </w:rPr>
              <w:t>条款号</w:t>
            </w:r>
          </w:p>
        </w:tc>
        <w:tc>
          <w:tcPr>
            <w:tcW w:w="738" w:type="pct"/>
            <w:tcBorders>
              <w:top w:val="single" w:color="auto" w:sz="6" w:space="0"/>
            </w:tcBorders>
            <w:vAlign w:val="center"/>
          </w:tcPr>
          <w:p w14:paraId="5B0162A9">
            <w:pPr>
              <w:spacing w:line="320" w:lineRule="exact"/>
              <w:jc w:val="center"/>
              <w:rPr>
                <w:b/>
                <w:sz w:val="24"/>
              </w:rPr>
            </w:pPr>
            <w:r>
              <w:rPr>
                <w:rFonts w:hint="eastAsia"/>
                <w:b/>
                <w:sz w:val="24"/>
              </w:rPr>
              <w:t>内容</w:t>
            </w:r>
          </w:p>
        </w:tc>
        <w:tc>
          <w:tcPr>
            <w:tcW w:w="3451" w:type="pct"/>
            <w:tcBorders>
              <w:top w:val="single" w:color="auto" w:sz="6" w:space="0"/>
            </w:tcBorders>
            <w:vAlign w:val="center"/>
          </w:tcPr>
          <w:p w14:paraId="32813B6A">
            <w:pPr>
              <w:spacing w:line="320" w:lineRule="exact"/>
              <w:jc w:val="center"/>
              <w:rPr>
                <w:b/>
                <w:sz w:val="24"/>
              </w:rPr>
            </w:pPr>
            <w:r>
              <w:rPr>
                <w:rFonts w:hint="eastAsia"/>
                <w:b/>
                <w:sz w:val="24"/>
              </w:rPr>
              <w:t>说明与要求</w:t>
            </w:r>
          </w:p>
        </w:tc>
      </w:tr>
      <w:tr w14:paraId="5166BB3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4EB7836">
            <w:pPr>
              <w:spacing w:line="320" w:lineRule="exact"/>
              <w:jc w:val="center"/>
              <w:rPr>
                <w:sz w:val="24"/>
              </w:rPr>
            </w:pPr>
            <w:r>
              <w:rPr>
                <w:sz w:val="24"/>
              </w:rPr>
              <w:t>1</w:t>
            </w:r>
          </w:p>
        </w:tc>
        <w:tc>
          <w:tcPr>
            <w:tcW w:w="501" w:type="pct"/>
            <w:vAlign w:val="center"/>
          </w:tcPr>
          <w:p w14:paraId="32D5F663">
            <w:pPr>
              <w:spacing w:line="320" w:lineRule="exact"/>
              <w:jc w:val="center"/>
              <w:rPr>
                <w:sz w:val="24"/>
              </w:rPr>
            </w:pPr>
            <w:r>
              <w:rPr>
                <w:sz w:val="24"/>
              </w:rPr>
              <w:t>1.1</w:t>
            </w:r>
          </w:p>
        </w:tc>
        <w:tc>
          <w:tcPr>
            <w:tcW w:w="738" w:type="pct"/>
            <w:vAlign w:val="center"/>
          </w:tcPr>
          <w:p w14:paraId="7C780946">
            <w:pPr>
              <w:spacing w:line="320" w:lineRule="exact"/>
              <w:jc w:val="center"/>
              <w:rPr>
                <w:sz w:val="24"/>
              </w:rPr>
            </w:pPr>
            <w:r>
              <w:rPr>
                <w:rFonts w:hint="eastAsia"/>
                <w:sz w:val="24"/>
              </w:rPr>
              <w:t>采购人</w:t>
            </w:r>
          </w:p>
        </w:tc>
        <w:tc>
          <w:tcPr>
            <w:tcW w:w="3451" w:type="pct"/>
            <w:vAlign w:val="center"/>
          </w:tcPr>
          <w:p w14:paraId="49EFC4C0">
            <w:pPr>
              <w:spacing w:line="320" w:lineRule="exact"/>
              <w:rPr>
                <w:sz w:val="24"/>
              </w:rPr>
            </w:pPr>
            <w:r>
              <w:rPr>
                <w:rFonts w:hint="eastAsia"/>
                <w:sz w:val="24"/>
              </w:rPr>
              <w:t>江苏省广电有线信息网络股份有限公司，以下简称“采购人”</w:t>
            </w:r>
          </w:p>
        </w:tc>
      </w:tr>
      <w:tr w14:paraId="616BA1E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0567639">
            <w:pPr>
              <w:spacing w:line="320" w:lineRule="exact"/>
              <w:jc w:val="center"/>
              <w:rPr>
                <w:sz w:val="24"/>
              </w:rPr>
            </w:pPr>
            <w:r>
              <w:rPr>
                <w:sz w:val="24"/>
              </w:rPr>
              <w:t>2</w:t>
            </w:r>
          </w:p>
        </w:tc>
        <w:tc>
          <w:tcPr>
            <w:tcW w:w="501" w:type="pct"/>
            <w:vAlign w:val="center"/>
          </w:tcPr>
          <w:p w14:paraId="719A64F9">
            <w:pPr>
              <w:spacing w:line="320" w:lineRule="exact"/>
              <w:jc w:val="center"/>
              <w:rPr>
                <w:sz w:val="24"/>
              </w:rPr>
            </w:pPr>
          </w:p>
        </w:tc>
        <w:tc>
          <w:tcPr>
            <w:tcW w:w="738" w:type="pct"/>
            <w:vAlign w:val="center"/>
          </w:tcPr>
          <w:p w14:paraId="3FB01EB0">
            <w:pPr>
              <w:spacing w:line="320" w:lineRule="exact"/>
              <w:jc w:val="center"/>
              <w:rPr>
                <w:sz w:val="24"/>
              </w:rPr>
            </w:pPr>
            <w:r>
              <w:rPr>
                <w:rFonts w:hint="eastAsia"/>
                <w:sz w:val="24"/>
              </w:rPr>
              <w:t>代理机构</w:t>
            </w:r>
          </w:p>
        </w:tc>
        <w:tc>
          <w:tcPr>
            <w:tcW w:w="3451" w:type="pct"/>
            <w:vAlign w:val="center"/>
          </w:tcPr>
          <w:p w14:paraId="2BFE6A3E">
            <w:pPr>
              <w:spacing w:line="320" w:lineRule="exact"/>
              <w:rPr>
                <w:sz w:val="24"/>
              </w:rPr>
            </w:pPr>
            <w:r>
              <w:rPr>
                <w:rFonts w:hint="eastAsia"/>
                <w:sz w:val="24"/>
              </w:rPr>
              <w:t>本项目无代理机构</w:t>
            </w:r>
          </w:p>
        </w:tc>
      </w:tr>
      <w:tr w14:paraId="5FA00D8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66541FAF">
            <w:pPr>
              <w:spacing w:line="320" w:lineRule="exact"/>
              <w:jc w:val="center"/>
              <w:rPr>
                <w:sz w:val="24"/>
              </w:rPr>
            </w:pPr>
            <w:r>
              <w:rPr>
                <w:sz w:val="24"/>
              </w:rPr>
              <w:t>3</w:t>
            </w:r>
          </w:p>
        </w:tc>
        <w:tc>
          <w:tcPr>
            <w:tcW w:w="501" w:type="pct"/>
            <w:vAlign w:val="center"/>
          </w:tcPr>
          <w:p w14:paraId="69A2164B">
            <w:pPr>
              <w:spacing w:line="320" w:lineRule="exact"/>
              <w:jc w:val="center"/>
              <w:rPr>
                <w:sz w:val="24"/>
              </w:rPr>
            </w:pPr>
            <w:r>
              <w:rPr>
                <w:sz w:val="24"/>
              </w:rPr>
              <w:t>1.2</w:t>
            </w:r>
          </w:p>
        </w:tc>
        <w:tc>
          <w:tcPr>
            <w:tcW w:w="738" w:type="pct"/>
            <w:vAlign w:val="center"/>
          </w:tcPr>
          <w:p w14:paraId="22A20E20">
            <w:pPr>
              <w:spacing w:line="320" w:lineRule="exact"/>
              <w:jc w:val="center"/>
              <w:rPr>
                <w:sz w:val="24"/>
              </w:rPr>
            </w:pPr>
            <w:r>
              <w:rPr>
                <w:rFonts w:hint="eastAsia"/>
                <w:sz w:val="24"/>
              </w:rPr>
              <w:t>合格的供应商</w:t>
            </w:r>
          </w:p>
        </w:tc>
        <w:tc>
          <w:tcPr>
            <w:tcW w:w="3451" w:type="pct"/>
            <w:vAlign w:val="center"/>
          </w:tcPr>
          <w:p w14:paraId="57B30356">
            <w:pPr>
              <w:spacing w:line="320" w:lineRule="exact"/>
              <w:rPr>
                <w:sz w:val="24"/>
              </w:rPr>
            </w:pPr>
            <w:r>
              <w:rPr>
                <w:rFonts w:hint="eastAsia"/>
                <w:sz w:val="24"/>
              </w:rPr>
              <w:t>见竞争性谈判文件第一章《竞争性谈判公告》</w:t>
            </w:r>
          </w:p>
        </w:tc>
      </w:tr>
      <w:tr w14:paraId="54AA86E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E3CE8E6">
            <w:pPr>
              <w:spacing w:line="320" w:lineRule="exact"/>
              <w:jc w:val="center"/>
              <w:rPr>
                <w:sz w:val="24"/>
              </w:rPr>
            </w:pPr>
            <w:r>
              <w:rPr>
                <w:sz w:val="24"/>
              </w:rPr>
              <w:t>4</w:t>
            </w:r>
          </w:p>
        </w:tc>
        <w:tc>
          <w:tcPr>
            <w:tcW w:w="501" w:type="pct"/>
            <w:vAlign w:val="center"/>
          </w:tcPr>
          <w:p w14:paraId="0939CBAC">
            <w:pPr>
              <w:spacing w:line="320" w:lineRule="exact"/>
              <w:jc w:val="center"/>
              <w:rPr>
                <w:sz w:val="24"/>
              </w:rPr>
            </w:pPr>
            <w:r>
              <w:rPr>
                <w:sz w:val="24"/>
              </w:rPr>
              <w:t>20.1</w:t>
            </w:r>
          </w:p>
        </w:tc>
        <w:tc>
          <w:tcPr>
            <w:tcW w:w="738" w:type="pct"/>
            <w:vAlign w:val="center"/>
          </w:tcPr>
          <w:p w14:paraId="3CA11280">
            <w:pPr>
              <w:spacing w:line="320" w:lineRule="exact"/>
              <w:jc w:val="center"/>
              <w:rPr>
                <w:sz w:val="24"/>
              </w:rPr>
            </w:pPr>
            <w:r>
              <w:rPr>
                <w:rFonts w:hint="eastAsia"/>
                <w:sz w:val="24"/>
              </w:rPr>
              <w:t>保密</w:t>
            </w:r>
          </w:p>
        </w:tc>
        <w:tc>
          <w:tcPr>
            <w:tcW w:w="3451" w:type="pct"/>
            <w:vAlign w:val="center"/>
          </w:tcPr>
          <w:p w14:paraId="54BEC4A6">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14:paraId="2672D35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72D5FD4">
            <w:pPr>
              <w:spacing w:line="320" w:lineRule="exact"/>
              <w:jc w:val="center"/>
              <w:rPr>
                <w:sz w:val="24"/>
              </w:rPr>
            </w:pPr>
            <w:r>
              <w:rPr>
                <w:sz w:val="24"/>
              </w:rPr>
              <w:t>5</w:t>
            </w:r>
          </w:p>
        </w:tc>
        <w:tc>
          <w:tcPr>
            <w:tcW w:w="501" w:type="pct"/>
            <w:vAlign w:val="center"/>
          </w:tcPr>
          <w:p w14:paraId="0BAD663C">
            <w:pPr>
              <w:spacing w:line="320" w:lineRule="exact"/>
              <w:jc w:val="center"/>
              <w:rPr>
                <w:sz w:val="24"/>
              </w:rPr>
            </w:pPr>
            <w:r>
              <w:rPr>
                <w:sz w:val="24"/>
              </w:rPr>
              <w:t>7.1</w:t>
            </w:r>
          </w:p>
          <w:p w14:paraId="501D379D">
            <w:pPr>
              <w:spacing w:line="320" w:lineRule="exact"/>
              <w:jc w:val="center"/>
              <w:rPr>
                <w:sz w:val="24"/>
              </w:rPr>
            </w:pPr>
            <w:r>
              <w:rPr>
                <w:rFonts w:hint="eastAsia"/>
                <w:sz w:val="24"/>
              </w:rPr>
              <w:t>2）</w:t>
            </w:r>
          </w:p>
        </w:tc>
        <w:tc>
          <w:tcPr>
            <w:tcW w:w="738" w:type="pct"/>
            <w:vAlign w:val="center"/>
          </w:tcPr>
          <w:p w14:paraId="1C5BF823">
            <w:pPr>
              <w:spacing w:line="320" w:lineRule="exact"/>
              <w:jc w:val="center"/>
              <w:rPr>
                <w:sz w:val="24"/>
              </w:rPr>
            </w:pPr>
            <w:r>
              <w:rPr>
                <w:rFonts w:hint="eastAsia" w:ascii="宋体" w:hAnsi="宋体"/>
                <w:sz w:val="24"/>
              </w:rPr>
              <w:t>资格证明文件</w:t>
            </w:r>
          </w:p>
        </w:tc>
        <w:tc>
          <w:tcPr>
            <w:tcW w:w="3451" w:type="pct"/>
            <w:vAlign w:val="center"/>
          </w:tcPr>
          <w:p w14:paraId="6EB8D516">
            <w:pPr>
              <w:spacing w:line="320" w:lineRule="exact"/>
              <w:rPr>
                <w:sz w:val="24"/>
              </w:rPr>
            </w:pPr>
            <w:r>
              <w:rPr>
                <w:rFonts w:hint="eastAsia"/>
                <w:sz w:val="24"/>
              </w:rPr>
              <w:t>见竞争性谈判文件第一章《竞争性谈判公告》</w:t>
            </w:r>
          </w:p>
        </w:tc>
      </w:tr>
      <w:tr w14:paraId="3916B29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9CA8952">
            <w:pPr>
              <w:spacing w:line="320" w:lineRule="exact"/>
              <w:jc w:val="center"/>
              <w:rPr>
                <w:sz w:val="24"/>
              </w:rPr>
            </w:pPr>
            <w:r>
              <w:rPr>
                <w:sz w:val="24"/>
              </w:rPr>
              <w:t>6</w:t>
            </w:r>
          </w:p>
        </w:tc>
        <w:tc>
          <w:tcPr>
            <w:tcW w:w="501" w:type="pct"/>
            <w:vAlign w:val="center"/>
          </w:tcPr>
          <w:p w14:paraId="7E167C9E">
            <w:pPr>
              <w:spacing w:line="320" w:lineRule="exact"/>
              <w:jc w:val="center"/>
              <w:rPr>
                <w:sz w:val="24"/>
              </w:rPr>
            </w:pPr>
            <w:r>
              <w:rPr>
                <w:sz w:val="24"/>
              </w:rPr>
              <w:t>7.1</w:t>
            </w:r>
          </w:p>
          <w:p w14:paraId="220D80C2">
            <w:pPr>
              <w:spacing w:line="320" w:lineRule="exact"/>
              <w:jc w:val="center"/>
              <w:rPr>
                <w:sz w:val="24"/>
              </w:rPr>
            </w:pPr>
            <w:r>
              <w:rPr>
                <w:rFonts w:hint="eastAsia"/>
                <w:sz w:val="24"/>
              </w:rPr>
              <w:t>3）</w:t>
            </w:r>
          </w:p>
        </w:tc>
        <w:tc>
          <w:tcPr>
            <w:tcW w:w="738" w:type="pct"/>
            <w:vAlign w:val="center"/>
          </w:tcPr>
          <w:p w14:paraId="2797471B">
            <w:pPr>
              <w:spacing w:line="320" w:lineRule="exact"/>
              <w:jc w:val="center"/>
              <w:rPr>
                <w:sz w:val="24"/>
              </w:rPr>
            </w:pPr>
            <w:r>
              <w:rPr>
                <w:rFonts w:hint="eastAsia"/>
                <w:sz w:val="24"/>
              </w:rPr>
              <w:t>响应文件的技术部分中必须包括的内容</w:t>
            </w:r>
          </w:p>
        </w:tc>
        <w:tc>
          <w:tcPr>
            <w:tcW w:w="3451" w:type="pct"/>
          </w:tcPr>
          <w:p w14:paraId="0CC59864">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34A1341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C2965E0">
            <w:pPr>
              <w:spacing w:line="320" w:lineRule="exact"/>
              <w:jc w:val="center"/>
              <w:rPr>
                <w:sz w:val="24"/>
              </w:rPr>
            </w:pPr>
            <w:r>
              <w:rPr>
                <w:sz w:val="24"/>
              </w:rPr>
              <w:t>7</w:t>
            </w:r>
          </w:p>
        </w:tc>
        <w:tc>
          <w:tcPr>
            <w:tcW w:w="501" w:type="pct"/>
            <w:vAlign w:val="center"/>
          </w:tcPr>
          <w:p w14:paraId="30681F31">
            <w:pPr>
              <w:spacing w:line="320" w:lineRule="exact"/>
              <w:jc w:val="center"/>
              <w:rPr>
                <w:sz w:val="24"/>
              </w:rPr>
            </w:pPr>
            <w:r>
              <w:rPr>
                <w:sz w:val="24"/>
              </w:rPr>
              <w:t>7.1</w:t>
            </w:r>
          </w:p>
          <w:p w14:paraId="05DE5F10">
            <w:pPr>
              <w:spacing w:line="320" w:lineRule="exact"/>
              <w:jc w:val="center"/>
              <w:rPr>
                <w:sz w:val="24"/>
              </w:rPr>
            </w:pPr>
            <w:r>
              <w:rPr>
                <w:rFonts w:hint="eastAsia"/>
                <w:sz w:val="24"/>
              </w:rPr>
              <w:t>6）</w:t>
            </w:r>
          </w:p>
        </w:tc>
        <w:tc>
          <w:tcPr>
            <w:tcW w:w="738" w:type="pct"/>
            <w:vAlign w:val="center"/>
          </w:tcPr>
          <w:p w14:paraId="7473E4C1">
            <w:pPr>
              <w:spacing w:line="320" w:lineRule="exact"/>
              <w:jc w:val="center"/>
              <w:rPr>
                <w:sz w:val="24"/>
              </w:rPr>
            </w:pPr>
            <w:r>
              <w:rPr>
                <w:rFonts w:hint="eastAsia"/>
                <w:sz w:val="24"/>
              </w:rPr>
              <w:t>合同文本的提供</w:t>
            </w:r>
          </w:p>
        </w:tc>
        <w:tc>
          <w:tcPr>
            <w:tcW w:w="3451" w:type="pct"/>
            <w:vAlign w:val="center"/>
          </w:tcPr>
          <w:p w14:paraId="1EC7E9B5">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6D061C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688BA5C">
            <w:pPr>
              <w:spacing w:line="320" w:lineRule="exact"/>
              <w:jc w:val="center"/>
              <w:rPr>
                <w:sz w:val="24"/>
              </w:rPr>
            </w:pPr>
            <w:r>
              <w:rPr>
                <w:sz w:val="24"/>
              </w:rPr>
              <w:t>8</w:t>
            </w:r>
          </w:p>
        </w:tc>
        <w:tc>
          <w:tcPr>
            <w:tcW w:w="501" w:type="pct"/>
            <w:vAlign w:val="center"/>
          </w:tcPr>
          <w:p w14:paraId="201F3937">
            <w:pPr>
              <w:spacing w:line="320" w:lineRule="exact"/>
              <w:jc w:val="center"/>
              <w:rPr>
                <w:sz w:val="24"/>
              </w:rPr>
            </w:pPr>
            <w:r>
              <w:rPr>
                <w:sz w:val="24"/>
              </w:rPr>
              <w:t>8.1</w:t>
            </w:r>
          </w:p>
        </w:tc>
        <w:tc>
          <w:tcPr>
            <w:tcW w:w="738" w:type="pct"/>
            <w:vAlign w:val="center"/>
          </w:tcPr>
          <w:p w14:paraId="326E0520">
            <w:pPr>
              <w:spacing w:line="320" w:lineRule="exact"/>
              <w:jc w:val="center"/>
              <w:rPr>
                <w:sz w:val="24"/>
              </w:rPr>
            </w:pPr>
            <w:r>
              <w:rPr>
                <w:rFonts w:hint="eastAsia"/>
                <w:sz w:val="24"/>
              </w:rPr>
              <w:t>响应文件的式样和签署</w:t>
            </w:r>
          </w:p>
        </w:tc>
        <w:tc>
          <w:tcPr>
            <w:tcW w:w="3451" w:type="pct"/>
            <w:vAlign w:val="center"/>
          </w:tcPr>
          <w:p w14:paraId="7410F852">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14:paraId="3263167E">
            <w:pPr>
              <w:pStyle w:val="6"/>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w:t>
            </w:r>
          </w:p>
        </w:tc>
      </w:tr>
      <w:tr w14:paraId="4B6E3D4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2B9418D">
            <w:pPr>
              <w:spacing w:line="320" w:lineRule="exact"/>
              <w:jc w:val="center"/>
              <w:rPr>
                <w:sz w:val="24"/>
              </w:rPr>
            </w:pPr>
            <w:r>
              <w:rPr>
                <w:sz w:val="24"/>
              </w:rPr>
              <w:t>9</w:t>
            </w:r>
          </w:p>
        </w:tc>
        <w:tc>
          <w:tcPr>
            <w:tcW w:w="501" w:type="pct"/>
            <w:vAlign w:val="center"/>
          </w:tcPr>
          <w:p w14:paraId="25AA0682">
            <w:pPr>
              <w:spacing w:line="320" w:lineRule="exact"/>
              <w:jc w:val="center"/>
              <w:rPr>
                <w:sz w:val="24"/>
              </w:rPr>
            </w:pPr>
            <w:r>
              <w:rPr>
                <w:sz w:val="24"/>
              </w:rPr>
              <w:t>9.1</w:t>
            </w:r>
          </w:p>
        </w:tc>
        <w:tc>
          <w:tcPr>
            <w:tcW w:w="738" w:type="pct"/>
            <w:vAlign w:val="center"/>
          </w:tcPr>
          <w:p w14:paraId="47E205C7">
            <w:pPr>
              <w:spacing w:line="320" w:lineRule="exact"/>
              <w:jc w:val="center"/>
              <w:rPr>
                <w:sz w:val="24"/>
              </w:rPr>
            </w:pPr>
            <w:r>
              <w:rPr>
                <w:rFonts w:hint="eastAsia"/>
                <w:sz w:val="24"/>
              </w:rPr>
              <w:t>报价</w:t>
            </w:r>
          </w:p>
        </w:tc>
        <w:tc>
          <w:tcPr>
            <w:tcW w:w="3451" w:type="pct"/>
            <w:vAlign w:val="center"/>
          </w:tcPr>
          <w:p w14:paraId="71049397">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2DF29F72">
            <w:pPr>
              <w:spacing w:line="320" w:lineRule="exact"/>
              <w:rPr>
                <w:sz w:val="24"/>
              </w:rPr>
            </w:pPr>
            <w:r>
              <w:rPr>
                <w:rFonts w:hint="eastAsia"/>
                <w:sz w:val="24"/>
              </w:rPr>
              <w:t>供应商必须保证所提供的服务能够完全满足采购人的项目建设需求，并充分考虑到采购人的售后服务需求。</w:t>
            </w:r>
          </w:p>
        </w:tc>
      </w:tr>
      <w:tr w14:paraId="6A5C28E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AAF8CD7">
            <w:pPr>
              <w:spacing w:line="320" w:lineRule="exact"/>
              <w:jc w:val="center"/>
              <w:rPr>
                <w:sz w:val="24"/>
              </w:rPr>
            </w:pPr>
            <w:r>
              <w:rPr>
                <w:sz w:val="24"/>
              </w:rPr>
              <w:t>10</w:t>
            </w:r>
          </w:p>
        </w:tc>
        <w:tc>
          <w:tcPr>
            <w:tcW w:w="501" w:type="pct"/>
            <w:vAlign w:val="center"/>
          </w:tcPr>
          <w:p w14:paraId="4F9E89E6">
            <w:pPr>
              <w:spacing w:line="320" w:lineRule="exact"/>
              <w:jc w:val="center"/>
              <w:rPr>
                <w:sz w:val="24"/>
              </w:rPr>
            </w:pPr>
          </w:p>
        </w:tc>
        <w:tc>
          <w:tcPr>
            <w:tcW w:w="738" w:type="pct"/>
            <w:vAlign w:val="center"/>
          </w:tcPr>
          <w:p w14:paraId="5BA1E45E">
            <w:pPr>
              <w:spacing w:line="320" w:lineRule="exact"/>
              <w:jc w:val="center"/>
              <w:rPr>
                <w:sz w:val="24"/>
              </w:rPr>
            </w:pPr>
            <w:r>
              <w:rPr>
                <w:rFonts w:hint="eastAsia"/>
                <w:sz w:val="24"/>
              </w:rPr>
              <w:t>响应文件的盖章或签字</w:t>
            </w:r>
          </w:p>
        </w:tc>
        <w:tc>
          <w:tcPr>
            <w:tcW w:w="3451" w:type="pct"/>
            <w:vAlign w:val="center"/>
          </w:tcPr>
          <w:p w14:paraId="7D29A53D">
            <w:pPr>
              <w:spacing w:line="320" w:lineRule="exact"/>
              <w:rPr>
                <w:sz w:val="24"/>
              </w:rPr>
            </w:pPr>
            <w:r>
              <w:rPr>
                <w:rFonts w:hint="eastAsia"/>
                <w:sz w:val="24"/>
              </w:rPr>
              <w:t>本条款增加规定：</w:t>
            </w:r>
          </w:p>
          <w:p w14:paraId="6C3691A9">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14:paraId="66D58B2A">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14:paraId="26F505D6">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14:paraId="356B519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00F47BD">
            <w:pPr>
              <w:spacing w:line="320" w:lineRule="exact"/>
              <w:jc w:val="center"/>
              <w:rPr>
                <w:sz w:val="24"/>
              </w:rPr>
            </w:pPr>
            <w:r>
              <w:rPr>
                <w:sz w:val="24"/>
              </w:rPr>
              <w:t>11</w:t>
            </w:r>
          </w:p>
        </w:tc>
        <w:tc>
          <w:tcPr>
            <w:tcW w:w="501" w:type="pct"/>
            <w:vAlign w:val="center"/>
          </w:tcPr>
          <w:p w14:paraId="3B5E8868">
            <w:pPr>
              <w:spacing w:line="320" w:lineRule="exact"/>
              <w:jc w:val="center"/>
              <w:rPr>
                <w:sz w:val="24"/>
                <w:szCs w:val="32"/>
              </w:rPr>
            </w:pPr>
            <w:r>
              <w:rPr>
                <w:sz w:val="24"/>
                <w:szCs w:val="32"/>
              </w:rPr>
              <w:t>11.1</w:t>
            </w:r>
          </w:p>
        </w:tc>
        <w:tc>
          <w:tcPr>
            <w:tcW w:w="738" w:type="pct"/>
            <w:vAlign w:val="center"/>
          </w:tcPr>
          <w:p w14:paraId="02DE0FD1">
            <w:pPr>
              <w:spacing w:line="320" w:lineRule="exact"/>
              <w:jc w:val="center"/>
              <w:rPr>
                <w:sz w:val="24"/>
              </w:rPr>
            </w:pPr>
            <w:r>
              <w:rPr>
                <w:rFonts w:hint="eastAsia"/>
                <w:sz w:val="24"/>
              </w:rPr>
              <w:t>响应有效期</w:t>
            </w:r>
          </w:p>
        </w:tc>
        <w:tc>
          <w:tcPr>
            <w:tcW w:w="3451" w:type="pct"/>
            <w:vAlign w:val="center"/>
          </w:tcPr>
          <w:p w14:paraId="055A26FA">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14:paraId="6D27316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104CD34">
            <w:pPr>
              <w:spacing w:line="320" w:lineRule="exact"/>
              <w:jc w:val="center"/>
              <w:rPr>
                <w:sz w:val="24"/>
              </w:rPr>
            </w:pPr>
            <w:r>
              <w:rPr>
                <w:sz w:val="24"/>
              </w:rPr>
              <w:t>12</w:t>
            </w:r>
          </w:p>
        </w:tc>
        <w:tc>
          <w:tcPr>
            <w:tcW w:w="501" w:type="pct"/>
            <w:vAlign w:val="center"/>
          </w:tcPr>
          <w:p w14:paraId="42E952F4">
            <w:pPr>
              <w:spacing w:line="320" w:lineRule="exact"/>
              <w:jc w:val="center"/>
              <w:rPr>
                <w:sz w:val="24"/>
                <w:szCs w:val="32"/>
              </w:rPr>
            </w:pPr>
            <w:r>
              <w:rPr>
                <w:sz w:val="24"/>
                <w:szCs w:val="32"/>
              </w:rPr>
              <w:t>13.1</w:t>
            </w:r>
          </w:p>
        </w:tc>
        <w:tc>
          <w:tcPr>
            <w:tcW w:w="738" w:type="pct"/>
            <w:vAlign w:val="center"/>
          </w:tcPr>
          <w:p w14:paraId="6FA9ACBA">
            <w:pPr>
              <w:spacing w:line="320" w:lineRule="exact"/>
              <w:jc w:val="center"/>
              <w:rPr>
                <w:sz w:val="24"/>
              </w:rPr>
            </w:pPr>
            <w:r>
              <w:rPr>
                <w:rFonts w:hint="eastAsia"/>
                <w:sz w:val="24"/>
              </w:rPr>
              <w:t>递交响应文件截止时间</w:t>
            </w:r>
          </w:p>
        </w:tc>
        <w:tc>
          <w:tcPr>
            <w:tcW w:w="3451" w:type="pct"/>
            <w:vAlign w:val="center"/>
          </w:tcPr>
          <w:p w14:paraId="10BE5C22">
            <w:pPr>
              <w:spacing w:line="320" w:lineRule="exact"/>
              <w:rPr>
                <w:sz w:val="24"/>
              </w:rPr>
            </w:pPr>
            <w:r>
              <w:rPr>
                <w:rFonts w:hint="eastAsia"/>
                <w:sz w:val="24"/>
              </w:rPr>
              <w:t>见竞争性谈判文件第一章《竞争性谈判公告》</w:t>
            </w:r>
          </w:p>
        </w:tc>
      </w:tr>
      <w:tr w14:paraId="4EDEEB3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2A3DAF6C">
            <w:pPr>
              <w:spacing w:line="320" w:lineRule="exact"/>
              <w:jc w:val="center"/>
              <w:rPr>
                <w:sz w:val="24"/>
              </w:rPr>
            </w:pPr>
            <w:r>
              <w:rPr>
                <w:sz w:val="24"/>
              </w:rPr>
              <w:t>13</w:t>
            </w:r>
          </w:p>
        </w:tc>
        <w:tc>
          <w:tcPr>
            <w:tcW w:w="501" w:type="pct"/>
            <w:vAlign w:val="center"/>
          </w:tcPr>
          <w:p w14:paraId="6972928A">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14:paraId="292AAC82">
            <w:pPr>
              <w:spacing w:line="320" w:lineRule="exact"/>
              <w:jc w:val="center"/>
              <w:rPr>
                <w:sz w:val="24"/>
              </w:rPr>
            </w:pPr>
            <w:r>
              <w:rPr>
                <w:rFonts w:hint="eastAsia"/>
                <w:sz w:val="24"/>
              </w:rPr>
              <w:t>递交响应文件地点</w:t>
            </w:r>
          </w:p>
        </w:tc>
        <w:tc>
          <w:tcPr>
            <w:tcW w:w="3451" w:type="pct"/>
            <w:vAlign w:val="center"/>
          </w:tcPr>
          <w:p w14:paraId="4BF3785A">
            <w:pPr>
              <w:spacing w:line="320" w:lineRule="exact"/>
              <w:rPr>
                <w:sz w:val="24"/>
              </w:rPr>
            </w:pPr>
            <w:r>
              <w:rPr>
                <w:rFonts w:hint="eastAsia"/>
                <w:sz w:val="24"/>
              </w:rPr>
              <w:t>见竞争性谈判文件第一章《竞争性谈判公告》</w:t>
            </w:r>
          </w:p>
        </w:tc>
      </w:tr>
      <w:tr w14:paraId="3EF566A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54952564">
            <w:pPr>
              <w:spacing w:line="320" w:lineRule="exact"/>
              <w:jc w:val="center"/>
              <w:rPr>
                <w:sz w:val="24"/>
              </w:rPr>
            </w:pPr>
            <w:r>
              <w:rPr>
                <w:sz w:val="24"/>
              </w:rPr>
              <w:t>14</w:t>
            </w:r>
          </w:p>
        </w:tc>
        <w:tc>
          <w:tcPr>
            <w:tcW w:w="501" w:type="pct"/>
            <w:vAlign w:val="center"/>
          </w:tcPr>
          <w:p w14:paraId="3A723DEE">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14:paraId="2E1DADAD">
            <w:pPr>
              <w:spacing w:line="320" w:lineRule="exact"/>
              <w:jc w:val="center"/>
              <w:rPr>
                <w:sz w:val="24"/>
              </w:rPr>
            </w:pPr>
            <w:r>
              <w:rPr>
                <w:rFonts w:hint="eastAsia"/>
                <w:sz w:val="24"/>
              </w:rPr>
              <w:t>如发现下列情况之一的，其响应文件将可能被拒绝</w:t>
            </w:r>
          </w:p>
        </w:tc>
        <w:tc>
          <w:tcPr>
            <w:tcW w:w="3451" w:type="pct"/>
            <w:vAlign w:val="center"/>
          </w:tcPr>
          <w:p w14:paraId="375B5376">
            <w:pPr>
              <w:spacing w:line="320" w:lineRule="exact"/>
              <w:rPr>
                <w:sz w:val="24"/>
              </w:rPr>
            </w:pPr>
            <w:r>
              <w:rPr>
                <w:sz w:val="24"/>
              </w:rPr>
              <w:t>1</w:t>
            </w:r>
            <w:r>
              <w:rPr>
                <w:rFonts w:hint="eastAsia"/>
                <w:sz w:val="24"/>
              </w:rPr>
              <w:t>、不满足竞争性谈判文件对合格供应商的基本资质要求的；</w:t>
            </w:r>
          </w:p>
          <w:p w14:paraId="6A112065">
            <w:pPr>
              <w:spacing w:line="320" w:lineRule="exact"/>
              <w:rPr>
                <w:sz w:val="24"/>
              </w:rPr>
            </w:pPr>
            <w:r>
              <w:rPr>
                <w:rFonts w:hint="eastAsia"/>
                <w:sz w:val="24"/>
              </w:rPr>
              <w:t>2、供应商在响应文件中提供的服务内容及质量不能实质性满足竞争性谈判文件要求或不能提供实质性满足证明的；</w:t>
            </w:r>
          </w:p>
          <w:p w14:paraId="404D913C">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14:paraId="30C8F576">
            <w:pPr>
              <w:spacing w:line="320" w:lineRule="exact"/>
              <w:rPr>
                <w:sz w:val="24"/>
              </w:rPr>
            </w:pPr>
            <w:r>
              <w:rPr>
                <w:sz w:val="24"/>
              </w:rPr>
              <w:t>4</w:t>
            </w:r>
            <w:r>
              <w:rPr>
                <w:rFonts w:hint="eastAsia"/>
                <w:sz w:val="24"/>
              </w:rPr>
              <w:t>、供应商在响应文件中对于第四章《合同格式》有任何负偏离的；</w:t>
            </w:r>
          </w:p>
          <w:p w14:paraId="4F7CABE1">
            <w:pPr>
              <w:spacing w:line="320" w:lineRule="exact"/>
              <w:rPr>
                <w:sz w:val="24"/>
              </w:rPr>
            </w:pPr>
            <w:r>
              <w:rPr>
                <w:sz w:val="24"/>
              </w:rPr>
              <w:t>5</w:t>
            </w:r>
            <w:r>
              <w:rPr>
                <w:rFonts w:hint="eastAsia"/>
                <w:sz w:val="24"/>
              </w:rPr>
              <w:t>、响应函、法人代表授权书不按照第六章《附件》的格式提供的；</w:t>
            </w:r>
          </w:p>
          <w:p w14:paraId="7FF791EF">
            <w:pPr>
              <w:spacing w:line="320" w:lineRule="exact"/>
              <w:rPr>
                <w:sz w:val="24"/>
              </w:rPr>
            </w:pPr>
            <w:r>
              <w:rPr>
                <w:sz w:val="24"/>
              </w:rPr>
              <w:t>6</w:t>
            </w:r>
            <w:r>
              <w:rPr>
                <w:rFonts w:hint="eastAsia"/>
                <w:sz w:val="24"/>
              </w:rPr>
              <w:t>、资格证明文件不全、失效或不符合竞争性谈判文件要求的；</w:t>
            </w:r>
          </w:p>
          <w:p w14:paraId="6F3FC49D">
            <w:pPr>
              <w:spacing w:line="320" w:lineRule="exact"/>
              <w:rPr>
                <w:sz w:val="24"/>
              </w:rPr>
            </w:pPr>
            <w:r>
              <w:rPr>
                <w:sz w:val="24"/>
              </w:rPr>
              <w:t>7</w:t>
            </w:r>
            <w:r>
              <w:rPr>
                <w:rFonts w:hint="eastAsia"/>
                <w:sz w:val="24"/>
              </w:rPr>
              <w:t>、响应文件无法定代表人签字，或签字人无法定代表人有效授权的；</w:t>
            </w:r>
          </w:p>
          <w:p w14:paraId="32F3948E">
            <w:pPr>
              <w:spacing w:line="320" w:lineRule="exact"/>
              <w:rPr>
                <w:sz w:val="24"/>
              </w:rPr>
            </w:pPr>
            <w:r>
              <w:rPr>
                <w:sz w:val="24"/>
              </w:rPr>
              <w:t>8</w:t>
            </w:r>
            <w:r>
              <w:rPr>
                <w:rFonts w:hint="eastAsia"/>
                <w:sz w:val="24"/>
              </w:rPr>
              <w:t>、响应文件或响应有效期不足的；</w:t>
            </w:r>
          </w:p>
          <w:p w14:paraId="0EEA246D">
            <w:pPr>
              <w:spacing w:line="320" w:lineRule="exact"/>
              <w:rPr>
                <w:sz w:val="24"/>
              </w:rPr>
            </w:pPr>
            <w:r>
              <w:rPr>
                <w:sz w:val="24"/>
              </w:rPr>
              <w:t>9</w:t>
            </w:r>
            <w:r>
              <w:rPr>
                <w:rFonts w:hint="eastAsia"/>
                <w:sz w:val="24"/>
              </w:rPr>
              <w:t>、响应文件中提供虚假或失实资料的；</w:t>
            </w:r>
          </w:p>
          <w:p w14:paraId="192790A1">
            <w:pPr>
              <w:spacing w:line="320" w:lineRule="exact"/>
              <w:rPr>
                <w:sz w:val="24"/>
              </w:rPr>
            </w:pPr>
            <w:r>
              <w:rPr>
                <w:sz w:val="24"/>
              </w:rPr>
              <w:t>10</w:t>
            </w:r>
            <w:r>
              <w:rPr>
                <w:rFonts w:hint="eastAsia"/>
                <w:sz w:val="24"/>
              </w:rPr>
              <w:t>、未按照竞争性谈判文件规定的方式领取竞争性谈判文件并按要求递交响应文件的；</w:t>
            </w:r>
          </w:p>
          <w:p w14:paraId="53CD3B03">
            <w:pPr>
              <w:spacing w:line="320" w:lineRule="exact"/>
              <w:rPr>
                <w:sz w:val="24"/>
              </w:rPr>
            </w:pPr>
            <w:r>
              <w:rPr>
                <w:sz w:val="24"/>
              </w:rPr>
              <w:t>11</w:t>
            </w:r>
            <w:r>
              <w:rPr>
                <w:rFonts w:hint="eastAsia"/>
                <w:sz w:val="24"/>
              </w:rPr>
              <w:t>、评审委员会认为不能实质上满足竞争性谈判文件其它要求的。</w:t>
            </w:r>
          </w:p>
        </w:tc>
      </w:tr>
      <w:tr w14:paraId="7F06CD7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5C06F931">
            <w:pPr>
              <w:spacing w:line="320" w:lineRule="exact"/>
              <w:jc w:val="center"/>
              <w:rPr>
                <w:sz w:val="24"/>
              </w:rPr>
            </w:pPr>
            <w:r>
              <w:rPr>
                <w:sz w:val="24"/>
              </w:rPr>
              <w:t>15</w:t>
            </w:r>
          </w:p>
        </w:tc>
        <w:tc>
          <w:tcPr>
            <w:tcW w:w="501" w:type="pct"/>
            <w:vAlign w:val="center"/>
          </w:tcPr>
          <w:p w14:paraId="78724672">
            <w:pPr>
              <w:spacing w:line="320" w:lineRule="exact"/>
              <w:jc w:val="center"/>
              <w:rPr>
                <w:sz w:val="24"/>
                <w:szCs w:val="32"/>
              </w:rPr>
            </w:pPr>
            <w:r>
              <w:rPr>
                <w:rFonts w:hint="eastAsia"/>
                <w:sz w:val="24"/>
                <w:szCs w:val="32"/>
              </w:rPr>
              <w:t>20</w:t>
            </w:r>
          </w:p>
        </w:tc>
        <w:tc>
          <w:tcPr>
            <w:tcW w:w="738" w:type="pct"/>
            <w:vAlign w:val="center"/>
          </w:tcPr>
          <w:p w14:paraId="3A9CC1F3">
            <w:pPr>
              <w:spacing w:line="320" w:lineRule="exact"/>
              <w:jc w:val="center"/>
              <w:rPr>
                <w:sz w:val="24"/>
              </w:rPr>
            </w:pPr>
            <w:r>
              <w:rPr>
                <w:rFonts w:hint="eastAsia"/>
                <w:sz w:val="24"/>
              </w:rPr>
              <w:t>评审</w:t>
            </w:r>
          </w:p>
        </w:tc>
        <w:tc>
          <w:tcPr>
            <w:tcW w:w="3451" w:type="pct"/>
            <w:vAlign w:val="center"/>
          </w:tcPr>
          <w:p w14:paraId="46063FBA">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14:paraId="55786B49">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F631B29">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797F472B">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60E33E94">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14:paraId="2AE5EF9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5599660D">
            <w:pPr>
              <w:spacing w:line="320" w:lineRule="exact"/>
              <w:jc w:val="center"/>
              <w:rPr>
                <w:sz w:val="24"/>
              </w:rPr>
            </w:pPr>
            <w:r>
              <w:rPr>
                <w:sz w:val="24"/>
              </w:rPr>
              <w:t>16</w:t>
            </w:r>
          </w:p>
        </w:tc>
        <w:tc>
          <w:tcPr>
            <w:tcW w:w="501" w:type="pct"/>
            <w:vAlign w:val="center"/>
          </w:tcPr>
          <w:p w14:paraId="4DCEE0C0">
            <w:pPr>
              <w:spacing w:line="320" w:lineRule="exact"/>
              <w:jc w:val="center"/>
              <w:rPr>
                <w:sz w:val="24"/>
                <w:szCs w:val="32"/>
              </w:rPr>
            </w:pPr>
            <w:r>
              <w:rPr>
                <w:rFonts w:hint="eastAsia"/>
                <w:sz w:val="24"/>
                <w:szCs w:val="32"/>
              </w:rPr>
              <w:t>22.1</w:t>
            </w:r>
          </w:p>
        </w:tc>
        <w:tc>
          <w:tcPr>
            <w:tcW w:w="738" w:type="pct"/>
            <w:vAlign w:val="center"/>
          </w:tcPr>
          <w:p w14:paraId="0D35390B">
            <w:pPr>
              <w:spacing w:line="320" w:lineRule="exact"/>
              <w:jc w:val="center"/>
              <w:rPr>
                <w:sz w:val="24"/>
              </w:rPr>
            </w:pPr>
            <w:r>
              <w:rPr>
                <w:rFonts w:hint="eastAsia"/>
                <w:sz w:val="24"/>
              </w:rPr>
              <w:t>成交</w:t>
            </w:r>
          </w:p>
          <w:p w14:paraId="40854052">
            <w:pPr>
              <w:spacing w:line="320" w:lineRule="exact"/>
              <w:jc w:val="center"/>
              <w:rPr>
                <w:sz w:val="24"/>
              </w:rPr>
            </w:pPr>
            <w:r>
              <w:rPr>
                <w:rFonts w:hint="eastAsia"/>
                <w:sz w:val="24"/>
              </w:rPr>
              <w:t>供应商数量</w:t>
            </w:r>
          </w:p>
        </w:tc>
        <w:tc>
          <w:tcPr>
            <w:tcW w:w="3451" w:type="pct"/>
            <w:vAlign w:val="center"/>
          </w:tcPr>
          <w:p w14:paraId="439BF86A">
            <w:pPr>
              <w:spacing w:line="320" w:lineRule="exact"/>
              <w:rPr>
                <w:sz w:val="24"/>
              </w:rPr>
            </w:pPr>
            <w:r>
              <w:rPr>
                <w:rFonts w:hint="eastAsia"/>
                <w:sz w:val="24"/>
              </w:rPr>
              <w:t>1名成交供应商。</w:t>
            </w:r>
          </w:p>
        </w:tc>
      </w:tr>
      <w:tr w14:paraId="7E24BAD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1B725127">
            <w:pPr>
              <w:spacing w:line="320" w:lineRule="exact"/>
              <w:jc w:val="center"/>
              <w:rPr>
                <w:sz w:val="24"/>
              </w:rPr>
            </w:pPr>
            <w:r>
              <w:rPr>
                <w:sz w:val="24"/>
              </w:rPr>
              <w:t>17</w:t>
            </w:r>
          </w:p>
        </w:tc>
        <w:tc>
          <w:tcPr>
            <w:tcW w:w="501" w:type="pct"/>
            <w:vAlign w:val="center"/>
          </w:tcPr>
          <w:p w14:paraId="08CA5EA7">
            <w:pPr>
              <w:spacing w:line="320" w:lineRule="exact"/>
              <w:jc w:val="center"/>
              <w:rPr>
                <w:sz w:val="24"/>
                <w:szCs w:val="32"/>
              </w:rPr>
            </w:pPr>
            <w:r>
              <w:rPr>
                <w:rFonts w:hint="eastAsia"/>
                <w:sz w:val="24"/>
                <w:szCs w:val="32"/>
              </w:rPr>
              <w:t>24</w:t>
            </w:r>
          </w:p>
        </w:tc>
        <w:tc>
          <w:tcPr>
            <w:tcW w:w="738" w:type="pct"/>
            <w:vAlign w:val="center"/>
          </w:tcPr>
          <w:p w14:paraId="0D798309">
            <w:pPr>
              <w:spacing w:line="320" w:lineRule="exact"/>
              <w:jc w:val="center"/>
              <w:rPr>
                <w:sz w:val="24"/>
              </w:rPr>
            </w:pPr>
            <w:r>
              <w:rPr>
                <w:rFonts w:hint="eastAsia"/>
                <w:sz w:val="24"/>
              </w:rPr>
              <w:t>签约</w:t>
            </w:r>
          </w:p>
        </w:tc>
        <w:tc>
          <w:tcPr>
            <w:tcW w:w="3451" w:type="pct"/>
            <w:vAlign w:val="center"/>
          </w:tcPr>
          <w:p w14:paraId="0D2C4866">
            <w:pPr>
              <w:spacing w:line="320" w:lineRule="exact"/>
              <w:rPr>
                <w:sz w:val="24"/>
              </w:rPr>
            </w:pPr>
            <w:r>
              <w:rPr>
                <w:rFonts w:hint="eastAsia"/>
                <w:sz w:val="24"/>
              </w:rPr>
              <w:t>采购人与本次成交供应商按本竞争性谈判文件第四章合同格式签订合同。</w:t>
            </w:r>
          </w:p>
        </w:tc>
      </w:tr>
    </w:tbl>
    <w:p w14:paraId="7BE595E2">
      <w:pPr>
        <w:ind w:firstLine="484" w:firstLineChars="202"/>
        <w:rPr>
          <w:sz w:val="24"/>
        </w:rPr>
      </w:pPr>
    </w:p>
    <w:p w14:paraId="33934C13">
      <w:pPr>
        <w:widowControl/>
        <w:jc w:val="left"/>
        <w:rPr>
          <w:sz w:val="24"/>
        </w:rPr>
      </w:pPr>
      <w:r>
        <w:rPr>
          <w:sz w:val="24"/>
        </w:rPr>
        <w:br w:type="page"/>
      </w:r>
    </w:p>
    <w:p w14:paraId="448B4163">
      <w:pPr>
        <w:jc w:val="center"/>
        <w:rPr>
          <w:rFonts w:ascii="宋体" w:hAnsi="宋体"/>
          <w:b/>
          <w:sz w:val="32"/>
          <w:szCs w:val="32"/>
        </w:rPr>
      </w:pPr>
      <w:r>
        <w:rPr>
          <w:rFonts w:hint="eastAsia" w:ascii="宋体" w:hAnsi="宋体"/>
          <w:b/>
          <w:sz w:val="32"/>
          <w:szCs w:val="32"/>
        </w:rPr>
        <w:t>供应商须知</w:t>
      </w:r>
    </w:p>
    <w:p w14:paraId="0766AAB8">
      <w:pPr>
        <w:spacing w:line="360" w:lineRule="auto"/>
        <w:rPr>
          <w:rFonts w:ascii="宋体" w:hAnsi="宋体"/>
          <w:b/>
          <w:sz w:val="28"/>
          <w:szCs w:val="28"/>
        </w:rPr>
      </w:pPr>
      <w:r>
        <w:rPr>
          <w:rFonts w:hint="eastAsia" w:ascii="宋体" w:hAnsi="宋体"/>
          <w:b/>
          <w:sz w:val="28"/>
          <w:szCs w:val="28"/>
        </w:rPr>
        <w:t>一、说明</w:t>
      </w:r>
    </w:p>
    <w:p w14:paraId="042D7549">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14:paraId="5F652E5A">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14:paraId="08DA5ADB">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14:paraId="5FBFED64">
      <w:pPr>
        <w:spacing w:line="360" w:lineRule="auto"/>
        <w:rPr>
          <w:rFonts w:ascii="宋体" w:hAnsi="宋体"/>
          <w:sz w:val="24"/>
        </w:rPr>
      </w:pPr>
      <w:r>
        <w:rPr>
          <w:rFonts w:ascii="宋体" w:hAnsi="宋体"/>
          <w:sz w:val="24"/>
        </w:rPr>
        <w:t>2.</w:t>
      </w:r>
      <w:r>
        <w:rPr>
          <w:rFonts w:hint="eastAsia" w:ascii="宋体" w:hAnsi="宋体"/>
          <w:sz w:val="24"/>
        </w:rPr>
        <w:t>费用</w:t>
      </w:r>
    </w:p>
    <w:p w14:paraId="0BA28173">
      <w:pPr>
        <w:spacing w:line="360" w:lineRule="auto"/>
        <w:rPr>
          <w:rFonts w:ascii="宋体" w:hAnsi="宋体"/>
          <w:sz w:val="24"/>
        </w:rPr>
      </w:pPr>
      <w:r>
        <w:rPr>
          <w:rFonts w:ascii="宋体" w:hAnsi="宋体"/>
          <w:sz w:val="24"/>
        </w:rPr>
        <w:t>2.1</w:t>
      </w:r>
      <w:r>
        <w:rPr>
          <w:rFonts w:hint="eastAsia" w:ascii="宋体" w:hAnsi="宋体"/>
          <w:sz w:val="24"/>
        </w:rPr>
        <w:t>供应商应承担所有与准备和参加竞争有关的费用。不论结果如何，采购人均无义务和责任承担这些费用。</w:t>
      </w:r>
    </w:p>
    <w:p w14:paraId="553401AB">
      <w:pPr>
        <w:spacing w:line="360" w:lineRule="auto"/>
        <w:rPr>
          <w:rFonts w:ascii="宋体" w:hAnsi="宋体"/>
          <w:sz w:val="28"/>
          <w:szCs w:val="28"/>
        </w:rPr>
      </w:pPr>
      <w:r>
        <w:rPr>
          <w:rFonts w:hint="eastAsia" w:ascii="宋体" w:hAnsi="宋体"/>
          <w:b/>
          <w:sz w:val="28"/>
          <w:szCs w:val="28"/>
        </w:rPr>
        <w:t>二、竞争性谈判文件</w:t>
      </w:r>
    </w:p>
    <w:p w14:paraId="3D33977B">
      <w:pPr>
        <w:spacing w:line="360" w:lineRule="auto"/>
        <w:rPr>
          <w:rFonts w:ascii="宋体" w:hAnsi="宋体"/>
          <w:sz w:val="24"/>
        </w:rPr>
      </w:pPr>
      <w:r>
        <w:rPr>
          <w:rFonts w:ascii="宋体" w:hAnsi="宋体"/>
          <w:sz w:val="24"/>
        </w:rPr>
        <w:t>3.</w:t>
      </w:r>
      <w:r>
        <w:rPr>
          <w:rFonts w:hint="eastAsia" w:ascii="宋体" w:hAnsi="宋体"/>
          <w:sz w:val="24"/>
        </w:rPr>
        <w:t>竞争性谈判文件构成</w:t>
      </w:r>
    </w:p>
    <w:p w14:paraId="2A54BA3E">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14:paraId="4498A0B5">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14:paraId="7BD2E0D6">
      <w:pPr>
        <w:spacing w:line="360" w:lineRule="auto"/>
        <w:rPr>
          <w:rFonts w:ascii="宋体" w:hAnsi="宋体"/>
          <w:sz w:val="24"/>
        </w:rPr>
      </w:pPr>
      <w:r>
        <w:rPr>
          <w:rFonts w:hint="eastAsia" w:ascii="宋体" w:hAnsi="宋体"/>
          <w:sz w:val="24"/>
        </w:rPr>
        <w:t>第二章竞争性谈判须知</w:t>
      </w:r>
    </w:p>
    <w:p w14:paraId="4C5E3D9A">
      <w:pPr>
        <w:spacing w:line="360" w:lineRule="auto"/>
        <w:rPr>
          <w:rFonts w:ascii="宋体" w:hAnsi="宋体"/>
          <w:sz w:val="24"/>
        </w:rPr>
      </w:pPr>
      <w:r>
        <w:rPr>
          <w:rFonts w:hint="eastAsia" w:ascii="宋体" w:hAnsi="宋体"/>
          <w:sz w:val="24"/>
        </w:rPr>
        <w:t>第三章评审办法</w:t>
      </w:r>
    </w:p>
    <w:p w14:paraId="7D69FB44">
      <w:pPr>
        <w:spacing w:line="360" w:lineRule="auto"/>
        <w:rPr>
          <w:rFonts w:ascii="宋体" w:hAnsi="宋体"/>
          <w:sz w:val="24"/>
        </w:rPr>
      </w:pPr>
      <w:r>
        <w:rPr>
          <w:rFonts w:hint="eastAsia" w:ascii="宋体" w:hAnsi="宋体"/>
          <w:sz w:val="24"/>
        </w:rPr>
        <w:t>第四章合同格式</w:t>
      </w:r>
    </w:p>
    <w:p w14:paraId="6B8FA092">
      <w:pPr>
        <w:spacing w:line="360" w:lineRule="auto"/>
        <w:rPr>
          <w:rFonts w:ascii="宋体" w:hAnsi="宋体"/>
          <w:sz w:val="24"/>
        </w:rPr>
      </w:pPr>
      <w:r>
        <w:rPr>
          <w:rFonts w:hint="eastAsia" w:ascii="宋体" w:hAnsi="宋体"/>
          <w:sz w:val="24"/>
        </w:rPr>
        <w:t>第五章技术需求书</w:t>
      </w:r>
    </w:p>
    <w:p w14:paraId="4A4023B3">
      <w:pPr>
        <w:spacing w:line="360" w:lineRule="auto"/>
        <w:rPr>
          <w:rFonts w:ascii="宋体" w:hAnsi="宋体"/>
          <w:sz w:val="24"/>
        </w:rPr>
      </w:pPr>
      <w:r>
        <w:rPr>
          <w:rFonts w:hint="eastAsia" w:ascii="宋体" w:hAnsi="宋体"/>
          <w:sz w:val="24"/>
        </w:rPr>
        <w:t>第六章竞争性谈判响应文件格式</w:t>
      </w:r>
    </w:p>
    <w:p w14:paraId="2E247A49">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3FF624BA">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14:paraId="071D9D70">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14:paraId="60CC46E3">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14:paraId="39CB4261">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14:paraId="576AF586">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14:paraId="645FA8E8">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14:paraId="1E619233">
      <w:pPr>
        <w:spacing w:line="360" w:lineRule="auto"/>
        <w:rPr>
          <w:rFonts w:ascii="宋体" w:hAnsi="宋体"/>
          <w:b/>
          <w:sz w:val="28"/>
          <w:szCs w:val="28"/>
        </w:rPr>
      </w:pPr>
      <w:r>
        <w:rPr>
          <w:rFonts w:hint="eastAsia" w:ascii="宋体" w:hAnsi="宋体"/>
          <w:b/>
          <w:sz w:val="28"/>
          <w:szCs w:val="28"/>
        </w:rPr>
        <w:t>三、响应文件的编制</w:t>
      </w:r>
    </w:p>
    <w:p w14:paraId="499D6935">
      <w:pPr>
        <w:spacing w:line="360" w:lineRule="auto"/>
        <w:rPr>
          <w:rFonts w:ascii="宋体" w:hAnsi="宋体"/>
          <w:sz w:val="24"/>
        </w:rPr>
      </w:pPr>
      <w:r>
        <w:rPr>
          <w:rFonts w:ascii="宋体" w:hAnsi="宋体"/>
          <w:sz w:val="24"/>
        </w:rPr>
        <w:t>6.</w:t>
      </w:r>
      <w:r>
        <w:rPr>
          <w:rFonts w:hint="eastAsia" w:ascii="宋体" w:hAnsi="宋体"/>
          <w:sz w:val="24"/>
        </w:rPr>
        <w:t>响应文件的语言</w:t>
      </w:r>
    </w:p>
    <w:p w14:paraId="756B731F">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D7C7976">
      <w:pPr>
        <w:spacing w:line="360" w:lineRule="auto"/>
        <w:rPr>
          <w:rFonts w:ascii="宋体" w:hAnsi="宋体"/>
          <w:sz w:val="24"/>
        </w:rPr>
      </w:pPr>
      <w:r>
        <w:rPr>
          <w:rFonts w:ascii="宋体" w:hAnsi="宋体"/>
          <w:sz w:val="24"/>
        </w:rPr>
        <w:t>7.</w:t>
      </w:r>
      <w:r>
        <w:rPr>
          <w:rFonts w:hint="eastAsia" w:ascii="宋体" w:hAnsi="宋体"/>
          <w:sz w:val="24"/>
        </w:rPr>
        <w:t>响应文件构成</w:t>
      </w:r>
    </w:p>
    <w:p w14:paraId="4E8382D9">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14:paraId="3CAE579D">
      <w:pPr>
        <w:spacing w:line="360" w:lineRule="auto"/>
        <w:rPr>
          <w:rFonts w:ascii="宋体" w:hAnsi="宋体"/>
          <w:sz w:val="24"/>
        </w:rPr>
      </w:pPr>
      <w:r>
        <w:rPr>
          <w:rFonts w:ascii="宋体" w:hAnsi="宋体"/>
          <w:sz w:val="24"/>
        </w:rPr>
        <w:t>1</w:t>
      </w:r>
      <w:r>
        <w:rPr>
          <w:rFonts w:hint="eastAsia" w:ascii="宋体" w:hAnsi="宋体"/>
          <w:sz w:val="24"/>
        </w:rPr>
        <w:t>）响应文件基本文件</w:t>
      </w:r>
    </w:p>
    <w:p w14:paraId="14C181A7">
      <w:pPr>
        <w:spacing w:line="360" w:lineRule="auto"/>
        <w:rPr>
          <w:rFonts w:ascii="宋体" w:hAnsi="宋体"/>
          <w:sz w:val="24"/>
        </w:rPr>
      </w:pPr>
      <w:r>
        <w:rPr>
          <w:rFonts w:hint="eastAsia" w:ascii="宋体" w:hAnsi="宋体"/>
          <w:sz w:val="24"/>
        </w:rPr>
        <w:t>项目方案</w:t>
      </w:r>
    </w:p>
    <w:p w14:paraId="1DC3AFA6">
      <w:pPr>
        <w:spacing w:line="360" w:lineRule="auto"/>
        <w:rPr>
          <w:rFonts w:ascii="宋体" w:hAnsi="宋体"/>
          <w:sz w:val="24"/>
        </w:rPr>
      </w:pPr>
      <w:r>
        <w:rPr>
          <w:rFonts w:hint="eastAsia" w:ascii="宋体" w:hAnsi="宋体"/>
          <w:sz w:val="24"/>
        </w:rPr>
        <w:t>响应函（格式见附件）</w:t>
      </w:r>
    </w:p>
    <w:p w14:paraId="350D95E0">
      <w:pPr>
        <w:spacing w:line="360" w:lineRule="auto"/>
        <w:rPr>
          <w:rFonts w:ascii="宋体" w:hAnsi="宋体"/>
          <w:sz w:val="24"/>
        </w:rPr>
      </w:pPr>
      <w:r>
        <w:rPr>
          <w:rFonts w:hint="eastAsia" w:ascii="宋体" w:hAnsi="宋体"/>
          <w:sz w:val="24"/>
        </w:rPr>
        <w:t>报价表（格式见附件）</w:t>
      </w:r>
    </w:p>
    <w:p w14:paraId="34B7EF98">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14:paraId="065D53C3">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0FB2E777">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14:paraId="50D750DF">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14:paraId="29542A94">
      <w:pPr>
        <w:spacing w:line="360" w:lineRule="auto"/>
        <w:rPr>
          <w:rFonts w:ascii="宋体" w:hAnsi="宋体"/>
          <w:sz w:val="24"/>
        </w:rPr>
      </w:pPr>
      <w:r>
        <w:rPr>
          <w:rFonts w:ascii="宋体" w:hAnsi="宋体"/>
          <w:sz w:val="24"/>
        </w:rPr>
        <w:t>6）合同文本的提供（详见《供应商须知前附表》）</w:t>
      </w:r>
    </w:p>
    <w:p w14:paraId="4D36CE29">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14:paraId="4F840676">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14:paraId="45974BFE">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14:paraId="562CA464">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53B2E994">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14:paraId="741BDBCD">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14:paraId="0802468D">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14:paraId="25789D3C">
      <w:pPr>
        <w:spacing w:line="360" w:lineRule="auto"/>
        <w:rPr>
          <w:rFonts w:ascii="宋体" w:hAnsi="宋体"/>
          <w:sz w:val="24"/>
        </w:rPr>
      </w:pPr>
      <w:r>
        <w:rPr>
          <w:rFonts w:ascii="宋体" w:hAnsi="宋体"/>
          <w:sz w:val="24"/>
        </w:rPr>
        <w:t>9.</w:t>
      </w:r>
      <w:r>
        <w:rPr>
          <w:rFonts w:hint="eastAsia" w:ascii="宋体" w:hAnsi="宋体"/>
          <w:sz w:val="24"/>
        </w:rPr>
        <w:t>报价</w:t>
      </w:r>
    </w:p>
    <w:p w14:paraId="3DCF5F3D">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14:paraId="7212E35A">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14:paraId="34EF0E6F">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14:paraId="69EDF435">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14:paraId="0977868F">
      <w:pPr>
        <w:spacing w:line="360" w:lineRule="auto"/>
        <w:rPr>
          <w:rFonts w:ascii="宋体" w:hAnsi="宋体"/>
          <w:sz w:val="24"/>
        </w:rPr>
      </w:pPr>
      <w:r>
        <w:rPr>
          <w:rFonts w:ascii="宋体" w:hAnsi="宋体"/>
          <w:sz w:val="24"/>
        </w:rPr>
        <w:t>10. 响应有效期（详见《供应商须知前附表》）</w:t>
      </w:r>
    </w:p>
    <w:p w14:paraId="3A343FD7">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14:paraId="333F82BB">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E7BBBF1">
      <w:pPr>
        <w:spacing w:line="360" w:lineRule="auto"/>
        <w:rPr>
          <w:rFonts w:ascii="宋体" w:hAnsi="宋体"/>
          <w:b/>
          <w:sz w:val="28"/>
          <w:szCs w:val="28"/>
        </w:rPr>
      </w:pPr>
      <w:r>
        <w:rPr>
          <w:rFonts w:hint="eastAsia" w:ascii="宋体" w:hAnsi="宋体"/>
          <w:b/>
          <w:sz w:val="28"/>
          <w:szCs w:val="28"/>
        </w:rPr>
        <w:t>四、响应文件的递交</w:t>
      </w:r>
    </w:p>
    <w:p w14:paraId="473B7A0B">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14:paraId="76902F4A">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14:paraId="41507061">
      <w:pPr>
        <w:spacing w:line="360" w:lineRule="auto"/>
        <w:rPr>
          <w:rFonts w:ascii="宋体" w:hAnsi="宋体"/>
          <w:sz w:val="24"/>
        </w:rPr>
      </w:pPr>
      <w:r>
        <w:rPr>
          <w:rFonts w:ascii="宋体" w:hAnsi="宋体"/>
          <w:sz w:val="24"/>
        </w:rPr>
        <w:t>11.2</w:t>
      </w:r>
      <w:r>
        <w:rPr>
          <w:rFonts w:hint="eastAsia" w:ascii="宋体" w:hAnsi="宋体"/>
          <w:sz w:val="24"/>
        </w:rPr>
        <w:t>内外层信封均应：</w:t>
      </w:r>
    </w:p>
    <w:p w14:paraId="04A68B8A">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14:paraId="4EDE2258">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14:paraId="708CE835">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14:paraId="171B9A9A">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14:paraId="3E1192FC">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14:paraId="13996A48">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14:paraId="169C7BDB">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14:paraId="5F27D956">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14:paraId="51C7BB7C">
      <w:pPr>
        <w:spacing w:line="360" w:lineRule="auto"/>
        <w:rPr>
          <w:rFonts w:ascii="宋体" w:hAnsi="宋体"/>
          <w:sz w:val="24"/>
        </w:rPr>
      </w:pPr>
      <w:r>
        <w:rPr>
          <w:rFonts w:ascii="宋体" w:hAnsi="宋体"/>
          <w:sz w:val="24"/>
        </w:rPr>
        <w:t>13.</w:t>
      </w:r>
      <w:r>
        <w:rPr>
          <w:rFonts w:hint="eastAsia" w:ascii="宋体" w:hAnsi="宋体"/>
          <w:sz w:val="24"/>
        </w:rPr>
        <w:t>迟交的响应文件</w:t>
      </w:r>
    </w:p>
    <w:p w14:paraId="256A88BA">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14:paraId="54C39F8E">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14:paraId="16894201">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14:paraId="52549F2D">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14:paraId="2C5C4A38">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14:paraId="7B195AC3">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14:paraId="58E78CC7">
      <w:pPr>
        <w:spacing w:line="360" w:lineRule="auto"/>
        <w:rPr>
          <w:rFonts w:ascii="宋体" w:hAnsi="宋体"/>
          <w:b/>
          <w:sz w:val="28"/>
          <w:szCs w:val="28"/>
        </w:rPr>
      </w:pPr>
      <w:r>
        <w:rPr>
          <w:rFonts w:hint="eastAsia" w:ascii="宋体" w:hAnsi="宋体"/>
          <w:b/>
          <w:sz w:val="28"/>
          <w:szCs w:val="28"/>
        </w:rPr>
        <w:t>五、评审</w:t>
      </w:r>
    </w:p>
    <w:p w14:paraId="6BBB06E7">
      <w:pPr>
        <w:spacing w:line="360" w:lineRule="auto"/>
        <w:rPr>
          <w:rFonts w:ascii="宋体" w:hAnsi="宋体"/>
          <w:sz w:val="24"/>
        </w:rPr>
      </w:pPr>
      <w:r>
        <w:rPr>
          <w:rFonts w:ascii="宋体" w:hAnsi="宋体"/>
          <w:sz w:val="24"/>
        </w:rPr>
        <w:t>15.</w:t>
      </w:r>
      <w:r>
        <w:rPr>
          <w:rFonts w:hint="eastAsia" w:ascii="宋体" w:hAnsi="宋体"/>
          <w:sz w:val="24"/>
        </w:rPr>
        <w:t>评审委员会</w:t>
      </w:r>
    </w:p>
    <w:p w14:paraId="1A00D7CF">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14:paraId="36AACB7B">
      <w:pPr>
        <w:spacing w:line="360" w:lineRule="auto"/>
        <w:rPr>
          <w:rFonts w:ascii="宋体" w:hAnsi="宋体"/>
          <w:sz w:val="24"/>
        </w:rPr>
      </w:pPr>
      <w:r>
        <w:rPr>
          <w:rFonts w:ascii="宋体" w:hAnsi="宋体"/>
          <w:sz w:val="24"/>
        </w:rPr>
        <w:t>16.</w:t>
      </w:r>
      <w:r>
        <w:rPr>
          <w:rFonts w:hint="eastAsia" w:ascii="宋体" w:hAnsi="宋体"/>
          <w:sz w:val="24"/>
        </w:rPr>
        <w:t>响应文件的澄清</w:t>
      </w:r>
    </w:p>
    <w:p w14:paraId="57BF291F">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4338AA50">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14:paraId="07778F97">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14:paraId="541BD2D2">
      <w:pPr>
        <w:spacing w:line="360" w:lineRule="auto"/>
        <w:rPr>
          <w:rFonts w:ascii="宋体" w:hAnsi="宋体"/>
          <w:sz w:val="24"/>
        </w:rPr>
      </w:pPr>
      <w:r>
        <w:rPr>
          <w:rFonts w:ascii="宋体" w:hAnsi="宋体"/>
          <w:sz w:val="24"/>
        </w:rPr>
        <w:t>17.</w:t>
      </w:r>
      <w:r>
        <w:rPr>
          <w:rFonts w:hint="eastAsia" w:ascii="宋体" w:hAnsi="宋体"/>
          <w:sz w:val="24"/>
        </w:rPr>
        <w:t>响应文件的初审</w:t>
      </w:r>
    </w:p>
    <w:p w14:paraId="320E6233">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14:paraId="17BE9B77">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5C59424C">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14:paraId="0EB6CB76">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2D2F30ED">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52617FE0">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659BC914">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14:paraId="41D8742E">
      <w:pPr>
        <w:spacing w:line="360" w:lineRule="auto"/>
        <w:rPr>
          <w:rFonts w:ascii="宋体" w:hAnsi="宋体"/>
          <w:b/>
          <w:sz w:val="28"/>
          <w:szCs w:val="28"/>
        </w:rPr>
      </w:pPr>
      <w:r>
        <w:rPr>
          <w:rFonts w:hint="eastAsia" w:ascii="宋体" w:hAnsi="宋体"/>
          <w:b/>
          <w:sz w:val="28"/>
          <w:szCs w:val="28"/>
        </w:rPr>
        <w:t>六、谈判和成交供应商评审</w:t>
      </w:r>
    </w:p>
    <w:p w14:paraId="73D37C4D">
      <w:pPr>
        <w:spacing w:line="360" w:lineRule="auto"/>
        <w:rPr>
          <w:rFonts w:ascii="宋体" w:hAnsi="宋体"/>
          <w:sz w:val="24"/>
        </w:rPr>
      </w:pPr>
      <w:r>
        <w:rPr>
          <w:rFonts w:ascii="宋体" w:hAnsi="宋体"/>
          <w:sz w:val="24"/>
        </w:rPr>
        <w:t>18.谈判</w:t>
      </w:r>
    </w:p>
    <w:p w14:paraId="793A087A">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1C81BC4D">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14:paraId="708645C6">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14:paraId="62AB4BFE">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332A7144">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14:paraId="797AA324">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rPr>
        <w:t>采购</w:t>
      </w:r>
      <w:r>
        <w:rPr>
          <w:rFonts w:hint="eastAsia" w:ascii="宋体" w:hAnsi="宋体"/>
          <w:sz w:val="24"/>
        </w:rPr>
        <w:t>人。</w:t>
      </w:r>
    </w:p>
    <w:p w14:paraId="28590413">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112A309F">
      <w:pPr>
        <w:spacing w:line="360" w:lineRule="auto"/>
        <w:rPr>
          <w:rFonts w:ascii="宋体" w:hAnsi="宋体"/>
          <w:sz w:val="24"/>
        </w:rPr>
      </w:pPr>
      <w:r>
        <w:rPr>
          <w:rFonts w:ascii="宋体" w:hAnsi="宋体"/>
          <w:sz w:val="24"/>
        </w:rPr>
        <w:t>19.成交供应商的评审</w:t>
      </w:r>
    </w:p>
    <w:p w14:paraId="7A09A3EC">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7DC1A905">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14:paraId="4D99DD38">
      <w:pPr>
        <w:spacing w:line="360" w:lineRule="auto"/>
        <w:rPr>
          <w:rFonts w:ascii="宋体" w:hAnsi="宋体"/>
          <w:sz w:val="24"/>
        </w:rPr>
      </w:pPr>
      <w:r>
        <w:rPr>
          <w:rFonts w:hint="eastAsia" w:ascii="宋体" w:hAnsi="宋体"/>
          <w:sz w:val="24"/>
        </w:rPr>
        <w:t>注：具体评审办法详见第三章评审办法。</w:t>
      </w:r>
    </w:p>
    <w:p w14:paraId="7883D314">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14:paraId="41542253">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14:paraId="2A262ED1">
      <w:pPr>
        <w:spacing w:line="360" w:lineRule="auto"/>
        <w:rPr>
          <w:rFonts w:ascii="宋体" w:hAnsi="宋体"/>
          <w:b/>
          <w:sz w:val="28"/>
          <w:szCs w:val="28"/>
        </w:rPr>
      </w:pPr>
      <w:r>
        <w:rPr>
          <w:rFonts w:hint="eastAsia" w:ascii="宋体" w:hAnsi="宋体"/>
          <w:b/>
          <w:sz w:val="28"/>
          <w:szCs w:val="28"/>
        </w:rPr>
        <w:t>七、保密</w:t>
      </w:r>
    </w:p>
    <w:p w14:paraId="600DF608">
      <w:pPr>
        <w:spacing w:line="360" w:lineRule="auto"/>
        <w:rPr>
          <w:rFonts w:ascii="宋体" w:hAnsi="宋体"/>
          <w:sz w:val="24"/>
        </w:rPr>
      </w:pPr>
      <w:r>
        <w:rPr>
          <w:rFonts w:ascii="宋体" w:hAnsi="宋体"/>
          <w:sz w:val="24"/>
        </w:rPr>
        <w:t>20.</w:t>
      </w:r>
      <w:r>
        <w:rPr>
          <w:rFonts w:hint="eastAsia" w:ascii="宋体" w:hAnsi="宋体"/>
          <w:sz w:val="24"/>
        </w:rPr>
        <w:t>与采购人的接触</w:t>
      </w:r>
    </w:p>
    <w:p w14:paraId="0313CD56">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14:paraId="62BB6CD8">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14:paraId="032D564F">
      <w:pPr>
        <w:spacing w:line="360" w:lineRule="auto"/>
        <w:rPr>
          <w:rFonts w:ascii="宋体" w:hAnsi="宋体"/>
          <w:b/>
          <w:sz w:val="28"/>
          <w:szCs w:val="28"/>
        </w:rPr>
      </w:pPr>
      <w:r>
        <w:rPr>
          <w:rFonts w:hint="eastAsia" w:ascii="宋体" w:hAnsi="宋体"/>
          <w:b/>
          <w:sz w:val="28"/>
          <w:szCs w:val="28"/>
        </w:rPr>
        <w:t>八、合同的签订</w:t>
      </w:r>
    </w:p>
    <w:p w14:paraId="6BDC4120">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14:paraId="2A43A445">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14:paraId="540ABE5B">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14:paraId="0BD691DB">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14:paraId="7FA7EC3B">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1CB51D52">
      <w:pPr>
        <w:spacing w:line="360" w:lineRule="auto"/>
        <w:rPr>
          <w:rFonts w:ascii="宋体" w:hAnsi="宋体"/>
          <w:sz w:val="24"/>
        </w:rPr>
      </w:pPr>
      <w:r>
        <w:rPr>
          <w:rFonts w:ascii="宋体" w:hAnsi="宋体"/>
          <w:sz w:val="24"/>
        </w:rPr>
        <w:t>23.</w:t>
      </w:r>
      <w:r>
        <w:rPr>
          <w:rFonts w:hint="eastAsia" w:ascii="宋体" w:hAnsi="宋体"/>
          <w:sz w:val="24"/>
        </w:rPr>
        <w:t>授予合同通知书</w:t>
      </w:r>
    </w:p>
    <w:p w14:paraId="370BA83A">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14:paraId="531BCB59">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14:paraId="7A221168">
      <w:pPr>
        <w:spacing w:line="360" w:lineRule="auto"/>
        <w:rPr>
          <w:rFonts w:ascii="宋体" w:hAnsi="宋体"/>
          <w:sz w:val="24"/>
        </w:rPr>
      </w:pPr>
      <w:r>
        <w:rPr>
          <w:rFonts w:ascii="宋体" w:hAnsi="宋体"/>
          <w:sz w:val="24"/>
        </w:rPr>
        <w:t>24.</w:t>
      </w:r>
      <w:r>
        <w:rPr>
          <w:rFonts w:hint="eastAsia" w:ascii="宋体" w:hAnsi="宋体"/>
          <w:sz w:val="24"/>
        </w:rPr>
        <w:t>签订合同</w:t>
      </w:r>
    </w:p>
    <w:p w14:paraId="2BBE68A3">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14:paraId="6768A4DC">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6"/>
      <w:bookmarkEnd w:id="7"/>
      <w:bookmarkEnd w:id="8"/>
      <w:bookmarkEnd w:id="9"/>
      <w:bookmarkStart w:id="10" w:name="_Toc226969316"/>
      <w:bookmarkStart w:id="11" w:name="_Toc107822520"/>
      <w:bookmarkStart w:id="12" w:name="_Toc227057922"/>
      <w:r>
        <w:br w:type="page"/>
      </w:r>
    </w:p>
    <w:bookmarkEnd w:id="10"/>
    <w:bookmarkEnd w:id="11"/>
    <w:bookmarkEnd w:id="12"/>
    <w:p w14:paraId="359A6705">
      <w:pPr>
        <w:pStyle w:val="2"/>
        <w:numPr>
          <w:ilvl w:val="0"/>
          <w:numId w:val="0"/>
        </w:numPr>
        <w:spacing w:before="0" w:after="0" w:line="360" w:lineRule="auto"/>
        <w:rPr>
          <w:b/>
          <w:sz w:val="36"/>
          <w:szCs w:val="36"/>
        </w:rPr>
      </w:pPr>
      <w:bookmarkStart w:id="13" w:name="_Toc69378617"/>
      <w:bookmarkStart w:id="14" w:name="_Toc226969352"/>
      <w:bookmarkStart w:id="15" w:name="_Toc227057958"/>
      <w:bookmarkStart w:id="16" w:name="_Toc107822556"/>
      <w:r>
        <w:rPr>
          <w:rFonts w:hint="eastAsia"/>
          <w:b/>
          <w:sz w:val="36"/>
          <w:szCs w:val="36"/>
        </w:rPr>
        <w:t>第三章评审办法</w:t>
      </w:r>
      <w:bookmarkEnd w:id="13"/>
    </w:p>
    <w:p w14:paraId="64AE8488">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14:paraId="21D81EF3">
      <w:pPr>
        <w:spacing w:line="360" w:lineRule="auto"/>
        <w:jc w:val="left"/>
        <w:rPr>
          <w:rFonts w:ascii="宋体" w:hAnsi="宋体"/>
          <w:sz w:val="24"/>
        </w:rPr>
      </w:pPr>
    </w:p>
    <w:p w14:paraId="1ADF06CC">
      <w:pPr>
        <w:rPr>
          <w:rFonts w:ascii="宋体" w:hAnsi="宋体"/>
          <w:sz w:val="24"/>
        </w:rPr>
      </w:pPr>
    </w:p>
    <w:p w14:paraId="6FBCAE7B">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14:paraId="54E37DDE">
      <w:pPr>
        <w:spacing w:line="360" w:lineRule="auto"/>
        <w:jc w:val="center"/>
        <w:rPr>
          <w:rFonts w:ascii="黑体" w:hAnsi="黑体" w:eastAsia="黑体"/>
          <w:sz w:val="24"/>
        </w:rPr>
      </w:pPr>
      <w:r>
        <w:rPr>
          <w:rFonts w:ascii="黑体" w:hAnsi="黑体" w:eastAsia="黑体"/>
          <w:sz w:val="24"/>
        </w:rPr>
        <w:t>（满分100分）</w:t>
      </w:r>
    </w:p>
    <w:tbl>
      <w:tblPr>
        <w:tblStyle w:val="53"/>
        <w:tblW w:w="96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6"/>
        <w:gridCol w:w="1171"/>
        <w:gridCol w:w="6886"/>
        <w:gridCol w:w="1132"/>
      </w:tblGrid>
      <w:tr w14:paraId="4A0E0D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56" w:type="pct"/>
            <w:gridSpan w:val="2"/>
            <w:tcBorders>
              <w:top w:val="single" w:color="010101" w:sz="6" w:space="0"/>
              <w:left w:val="single" w:color="010101" w:sz="6" w:space="0"/>
              <w:bottom w:val="single" w:color="010101" w:sz="6" w:space="0"/>
              <w:right w:val="single" w:color="010101" w:sz="6" w:space="0"/>
            </w:tcBorders>
            <w:vAlign w:val="center"/>
          </w:tcPr>
          <w:p w14:paraId="19313921">
            <w:pPr>
              <w:snapToGrid w:val="0"/>
              <w:jc w:val="center"/>
              <w:rPr>
                <w:szCs w:val="21"/>
              </w:rPr>
            </w:pPr>
            <w:r>
              <w:rPr>
                <w:b/>
                <w:bCs/>
                <w:color w:val="010101"/>
                <w:szCs w:val="21"/>
              </w:rPr>
              <w:t>评标项目</w:t>
            </w:r>
          </w:p>
        </w:tc>
        <w:tc>
          <w:tcPr>
            <w:tcW w:w="3558" w:type="pct"/>
            <w:tcBorders>
              <w:top w:val="single" w:color="010101" w:sz="6" w:space="0"/>
              <w:left w:val="single" w:color="010101" w:sz="6" w:space="0"/>
              <w:bottom w:val="single" w:color="010101" w:sz="6" w:space="0"/>
              <w:right w:val="single" w:color="010101" w:sz="6" w:space="0"/>
            </w:tcBorders>
            <w:vAlign w:val="center"/>
          </w:tcPr>
          <w:p w14:paraId="6BC3A4C5">
            <w:pPr>
              <w:snapToGrid w:val="0"/>
              <w:jc w:val="center"/>
              <w:rPr>
                <w:szCs w:val="21"/>
              </w:rPr>
            </w:pPr>
            <w:r>
              <w:rPr>
                <w:b/>
                <w:bCs/>
                <w:color w:val="010101"/>
                <w:szCs w:val="21"/>
              </w:rPr>
              <w:t>评分要求</w:t>
            </w:r>
          </w:p>
        </w:tc>
        <w:tc>
          <w:tcPr>
            <w:tcW w:w="585" w:type="pct"/>
            <w:tcBorders>
              <w:top w:val="single" w:color="010101" w:sz="6" w:space="0"/>
              <w:left w:val="single" w:color="010101" w:sz="6" w:space="0"/>
              <w:bottom w:val="single" w:color="010101" w:sz="6" w:space="0"/>
              <w:right w:val="single" w:color="010101" w:sz="6" w:space="0"/>
            </w:tcBorders>
            <w:vAlign w:val="center"/>
          </w:tcPr>
          <w:p w14:paraId="6DE84362">
            <w:pPr>
              <w:snapToGrid w:val="0"/>
              <w:jc w:val="center"/>
              <w:rPr>
                <w:szCs w:val="21"/>
              </w:rPr>
            </w:pPr>
            <w:r>
              <w:rPr>
                <w:b/>
                <w:bCs/>
                <w:color w:val="010101"/>
                <w:szCs w:val="21"/>
              </w:rPr>
              <w:t>投标文件响应的页码</w:t>
            </w:r>
          </w:p>
        </w:tc>
      </w:tr>
      <w:tr w14:paraId="094297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5447A424">
            <w:pPr>
              <w:snapToGrid w:val="0"/>
              <w:jc w:val="center"/>
              <w:rPr>
                <w:szCs w:val="21"/>
              </w:rPr>
            </w:pPr>
            <w:r>
              <w:rPr>
                <w:color w:val="010101"/>
                <w:szCs w:val="21"/>
              </w:rPr>
              <w:t>1</w:t>
            </w:r>
          </w:p>
        </w:tc>
        <w:tc>
          <w:tcPr>
            <w:tcW w:w="605" w:type="pct"/>
            <w:tcBorders>
              <w:top w:val="single" w:color="010101" w:sz="6" w:space="0"/>
              <w:left w:val="single" w:color="010101" w:sz="6" w:space="0"/>
              <w:bottom w:val="single" w:color="010101" w:sz="6" w:space="0"/>
              <w:right w:val="single" w:color="010101" w:sz="6" w:space="0"/>
            </w:tcBorders>
            <w:vAlign w:val="center"/>
          </w:tcPr>
          <w:p w14:paraId="1A17A0E6">
            <w:pPr>
              <w:snapToGrid w:val="0"/>
              <w:jc w:val="center"/>
              <w:rPr>
                <w:color w:val="010101"/>
                <w:szCs w:val="21"/>
              </w:rPr>
            </w:pPr>
            <w:r>
              <w:rPr>
                <w:rFonts w:hint="eastAsia"/>
                <w:color w:val="010101"/>
                <w:szCs w:val="21"/>
              </w:rPr>
              <w:t>价格</w:t>
            </w:r>
          </w:p>
          <w:p w14:paraId="2E60712B">
            <w:pPr>
              <w:snapToGrid w:val="0"/>
              <w:jc w:val="center"/>
              <w:rPr>
                <w:szCs w:val="21"/>
              </w:rPr>
            </w:pPr>
            <w:r>
              <w:rPr>
                <w:rFonts w:hint="eastAsia"/>
                <w:b/>
                <w:bCs/>
                <w:color w:val="010101"/>
                <w:szCs w:val="21"/>
              </w:rPr>
              <w:t>60</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6BE13805">
            <w:pPr>
              <w:keepLines/>
              <w:tabs>
                <w:tab w:val="left" w:pos="794"/>
                <w:tab w:val="left" w:pos="1191"/>
                <w:tab w:val="left" w:pos="1588"/>
                <w:tab w:val="left" w:pos="1985"/>
              </w:tabs>
              <w:autoSpaceDE w:val="0"/>
              <w:autoSpaceDN w:val="0"/>
              <w:adjustRightInd w:val="0"/>
            </w:pPr>
            <w:r>
              <w:rPr>
                <w:rFonts w:hint="eastAsia"/>
              </w:rPr>
              <w:t>A、评标价的计算：</w:t>
            </w:r>
          </w:p>
          <w:p w14:paraId="2DFD140F">
            <w:pPr>
              <w:keepLines/>
              <w:tabs>
                <w:tab w:val="left" w:pos="794"/>
                <w:tab w:val="left" w:pos="1191"/>
                <w:tab w:val="left" w:pos="1588"/>
                <w:tab w:val="left" w:pos="1985"/>
              </w:tabs>
              <w:autoSpaceDE w:val="0"/>
              <w:autoSpaceDN w:val="0"/>
              <w:adjustRightInd w:val="0"/>
            </w:pPr>
            <w:r>
              <w:rPr>
                <w:rFonts w:hint="eastAsia"/>
              </w:rPr>
              <w:t>1、投标人的投标价如有缺漏项，视为不实质性响应；</w:t>
            </w:r>
          </w:p>
          <w:p w14:paraId="6236D1E8">
            <w:pPr>
              <w:keepLines/>
              <w:tabs>
                <w:tab w:val="left" w:pos="794"/>
                <w:tab w:val="left" w:pos="1191"/>
                <w:tab w:val="left" w:pos="1588"/>
                <w:tab w:val="left" w:pos="1985"/>
              </w:tabs>
              <w:autoSpaceDE w:val="0"/>
              <w:autoSpaceDN w:val="0"/>
              <w:adjustRightInd w:val="0"/>
            </w:pPr>
            <w:r>
              <w:rPr>
                <w:rFonts w:hint="eastAsia"/>
              </w:rPr>
              <w:t>2、不接受选择性报价或者具有附加条件的报价；</w:t>
            </w:r>
          </w:p>
          <w:p w14:paraId="0FEC9EC4">
            <w:pPr>
              <w:keepLines/>
              <w:tabs>
                <w:tab w:val="left" w:pos="794"/>
                <w:tab w:val="left" w:pos="1191"/>
                <w:tab w:val="left" w:pos="1588"/>
                <w:tab w:val="left" w:pos="1985"/>
              </w:tabs>
              <w:autoSpaceDE w:val="0"/>
              <w:autoSpaceDN w:val="0"/>
              <w:adjustRightInd w:val="0"/>
            </w:pPr>
            <w:r>
              <w:rPr>
                <w:rFonts w:hint="eastAsia"/>
              </w:rPr>
              <w:t>3、投标文件中如果申报了非招标文件所要求的服务和产品，评审时不予以折价降低评标价；</w:t>
            </w:r>
          </w:p>
          <w:p w14:paraId="4C2C4F0F">
            <w:pPr>
              <w:keepLines/>
              <w:tabs>
                <w:tab w:val="left" w:pos="794"/>
                <w:tab w:val="left" w:pos="1191"/>
                <w:tab w:val="left" w:pos="1588"/>
                <w:tab w:val="left" w:pos="1985"/>
              </w:tabs>
              <w:autoSpaceDE w:val="0"/>
              <w:autoSpaceDN w:val="0"/>
              <w:adjustRightInd w:val="0"/>
            </w:pPr>
            <w:r>
              <w:rPr>
                <w:rFonts w:hint="eastAsia"/>
              </w:rPr>
              <w:t>4、评标价=经评审的含税总价。</w:t>
            </w:r>
          </w:p>
          <w:p w14:paraId="6470BC9E">
            <w:pPr>
              <w:keepLines/>
              <w:tabs>
                <w:tab w:val="left" w:pos="794"/>
                <w:tab w:val="left" w:pos="1191"/>
                <w:tab w:val="left" w:pos="1588"/>
                <w:tab w:val="left" w:pos="1985"/>
              </w:tabs>
              <w:autoSpaceDE w:val="0"/>
              <w:autoSpaceDN w:val="0"/>
              <w:adjustRightInd w:val="0"/>
            </w:pPr>
            <w:r>
              <w:rPr>
                <w:rFonts w:hint="eastAsia"/>
              </w:rPr>
              <w:t>B、价格分的计算（保留小数点后2位）</w:t>
            </w:r>
          </w:p>
          <w:p w14:paraId="0810B75A">
            <w:pPr>
              <w:keepLines/>
              <w:tabs>
                <w:tab w:val="left" w:pos="794"/>
                <w:tab w:val="left" w:pos="1191"/>
                <w:tab w:val="left" w:pos="1588"/>
                <w:tab w:val="left" w:pos="1985"/>
              </w:tabs>
              <w:autoSpaceDE w:val="0"/>
              <w:autoSpaceDN w:val="0"/>
              <w:adjustRightInd w:val="0"/>
            </w:pPr>
            <w:r>
              <w:rPr>
                <w:rFonts w:hint="eastAsia"/>
              </w:rPr>
              <w:t>1、评标基准价：若有效投标人≥5家，则去掉一个最低价和一个最高价，以剩余有效投标人评标价的算术平均值为评标基准价；若有效投标人＜5家，则以所有有效投标人评标价的算术平均值作为评标基准价。</w:t>
            </w:r>
          </w:p>
          <w:p w14:paraId="69B92469">
            <w:pPr>
              <w:keepLines/>
              <w:tabs>
                <w:tab w:val="left" w:pos="794"/>
                <w:tab w:val="left" w:pos="1191"/>
                <w:tab w:val="left" w:pos="1588"/>
                <w:tab w:val="left" w:pos="1985"/>
              </w:tabs>
              <w:autoSpaceDE w:val="0"/>
              <w:autoSpaceDN w:val="0"/>
              <w:adjustRightInd w:val="0"/>
            </w:pPr>
            <w:r>
              <w:rPr>
                <w:rFonts w:hint="eastAsia"/>
              </w:rPr>
              <w:t>2、计算价格得分=（评标基准价/评标价）×60（投标人的评标价低于评标基准价的得60分）。</w:t>
            </w:r>
          </w:p>
        </w:tc>
        <w:tc>
          <w:tcPr>
            <w:tcW w:w="585" w:type="pct"/>
            <w:tcBorders>
              <w:top w:val="single" w:color="010101" w:sz="6" w:space="0"/>
              <w:left w:val="single" w:color="010101" w:sz="6" w:space="0"/>
              <w:bottom w:val="single" w:color="010101" w:sz="6" w:space="0"/>
              <w:right w:val="single" w:color="010101" w:sz="6" w:space="0"/>
            </w:tcBorders>
          </w:tcPr>
          <w:p w14:paraId="1F6D1E96">
            <w:pPr>
              <w:snapToGrid w:val="0"/>
              <w:rPr>
                <w:szCs w:val="21"/>
              </w:rPr>
            </w:pPr>
            <w:r>
              <w:rPr>
                <w:szCs w:val="21"/>
              </w:rPr>
              <w:t> </w:t>
            </w:r>
          </w:p>
        </w:tc>
      </w:tr>
      <w:tr w14:paraId="2AE70C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56582103">
            <w:pPr>
              <w:snapToGrid w:val="0"/>
              <w:jc w:val="center"/>
              <w:rPr>
                <w:szCs w:val="21"/>
              </w:rPr>
            </w:pPr>
            <w:r>
              <w:rPr>
                <w:color w:val="010101"/>
                <w:szCs w:val="21"/>
              </w:rPr>
              <w:t>2</w:t>
            </w:r>
          </w:p>
        </w:tc>
        <w:tc>
          <w:tcPr>
            <w:tcW w:w="605" w:type="pct"/>
            <w:tcBorders>
              <w:top w:val="single" w:color="010101" w:sz="6" w:space="0"/>
              <w:left w:val="single" w:color="010101" w:sz="6" w:space="0"/>
              <w:bottom w:val="single" w:color="010101" w:sz="6" w:space="0"/>
              <w:right w:val="single" w:color="010101" w:sz="6" w:space="0"/>
            </w:tcBorders>
            <w:vAlign w:val="center"/>
          </w:tcPr>
          <w:p w14:paraId="2A6C868B">
            <w:pPr>
              <w:snapToGrid w:val="0"/>
              <w:jc w:val="center"/>
              <w:rPr>
                <w:szCs w:val="21"/>
              </w:rPr>
            </w:pPr>
            <w:r>
              <w:rPr>
                <w:rFonts w:hint="eastAsia"/>
                <w:color w:val="010101"/>
                <w:szCs w:val="21"/>
              </w:rPr>
              <w:t>响应</w:t>
            </w:r>
            <w:r>
              <w:rPr>
                <w:color w:val="010101"/>
                <w:szCs w:val="21"/>
              </w:rPr>
              <w:t>文件的</w:t>
            </w:r>
            <w:r>
              <w:rPr>
                <w:rFonts w:hint="eastAsia"/>
                <w:color w:val="010101"/>
                <w:szCs w:val="21"/>
              </w:rPr>
              <w:t>完整</w:t>
            </w:r>
            <w:r>
              <w:rPr>
                <w:color w:val="010101"/>
                <w:szCs w:val="21"/>
              </w:rPr>
              <w:t>有效性</w:t>
            </w:r>
          </w:p>
          <w:p w14:paraId="5A26CF40">
            <w:pPr>
              <w:snapToGrid w:val="0"/>
              <w:jc w:val="center"/>
              <w:rPr>
                <w:szCs w:val="21"/>
              </w:rPr>
            </w:pPr>
            <w:r>
              <w:rPr>
                <w:rFonts w:hint="eastAsia"/>
                <w:b/>
                <w:bCs/>
                <w:color w:val="010101"/>
                <w:szCs w:val="21"/>
              </w:rPr>
              <w:t>3</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59B74BB1">
            <w:pPr>
              <w:snapToGrid w:val="0"/>
              <w:rPr>
                <w:szCs w:val="21"/>
              </w:rPr>
            </w:pPr>
            <w:r>
              <w:rPr>
                <w:rFonts w:hint="eastAsia"/>
                <w:color w:val="000000"/>
                <w:szCs w:val="21"/>
              </w:rPr>
              <w:t>供应商响应文件完全符合采购文件的形式要求，无缺、漏项；文字清晰、描述清楚得2分；如发现不符，酌情扣分；如果发现严重不符或任何弄虚作假的行为，则直接取消参评资格。</w:t>
            </w:r>
          </w:p>
        </w:tc>
        <w:tc>
          <w:tcPr>
            <w:tcW w:w="585" w:type="pct"/>
            <w:tcBorders>
              <w:top w:val="single" w:color="010101" w:sz="6" w:space="0"/>
              <w:left w:val="single" w:color="010101" w:sz="6" w:space="0"/>
              <w:bottom w:val="single" w:color="010101" w:sz="6" w:space="0"/>
              <w:right w:val="single" w:color="010101" w:sz="6" w:space="0"/>
            </w:tcBorders>
          </w:tcPr>
          <w:p w14:paraId="5FBFD9D1">
            <w:pPr>
              <w:snapToGrid w:val="0"/>
              <w:rPr>
                <w:szCs w:val="21"/>
              </w:rPr>
            </w:pPr>
            <w:r>
              <w:rPr>
                <w:szCs w:val="21"/>
              </w:rPr>
              <w:t> </w:t>
            </w:r>
          </w:p>
        </w:tc>
      </w:tr>
      <w:tr w14:paraId="2FEB89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251" w:type="pct"/>
            <w:tcBorders>
              <w:top w:val="single" w:color="010101" w:sz="6" w:space="0"/>
              <w:left w:val="single" w:color="010101" w:sz="6" w:space="0"/>
              <w:right w:val="single" w:color="010101" w:sz="6" w:space="0"/>
            </w:tcBorders>
            <w:vAlign w:val="center"/>
          </w:tcPr>
          <w:p w14:paraId="4DE856B6">
            <w:pPr>
              <w:snapToGrid w:val="0"/>
              <w:jc w:val="center"/>
              <w:rPr>
                <w:szCs w:val="21"/>
              </w:rPr>
            </w:pPr>
            <w:r>
              <w:rPr>
                <w:color w:val="010101"/>
                <w:szCs w:val="21"/>
              </w:rPr>
              <w:t>3</w:t>
            </w:r>
          </w:p>
        </w:tc>
        <w:tc>
          <w:tcPr>
            <w:tcW w:w="605" w:type="pct"/>
            <w:tcBorders>
              <w:top w:val="single" w:color="010101" w:sz="6" w:space="0"/>
              <w:left w:val="single" w:color="010101" w:sz="6" w:space="0"/>
              <w:right w:val="single" w:color="010101" w:sz="6" w:space="0"/>
            </w:tcBorders>
            <w:vAlign w:val="center"/>
          </w:tcPr>
          <w:p w14:paraId="7509289C">
            <w:pPr>
              <w:snapToGrid w:val="0"/>
              <w:jc w:val="center"/>
              <w:rPr>
                <w:szCs w:val="21"/>
              </w:rPr>
            </w:pPr>
            <w:r>
              <w:rPr>
                <w:color w:val="010101"/>
                <w:szCs w:val="21"/>
              </w:rPr>
              <w:t>综合实力</w:t>
            </w:r>
          </w:p>
          <w:p w14:paraId="1B474095">
            <w:pPr>
              <w:snapToGrid w:val="0"/>
              <w:jc w:val="center"/>
              <w:rPr>
                <w:szCs w:val="21"/>
              </w:rPr>
            </w:pPr>
            <w:r>
              <w:rPr>
                <w:rFonts w:hint="eastAsia"/>
                <w:b/>
                <w:bCs/>
                <w:color w:val="010101"/>
                <w:szCs w:val="21"/>
              </w:rPr>
              <w:t>3分</w:t>
            </w:r>
          </w:p>
        </w:tc>
        <w:tc>
          <w:tcPr>
            <w:tcW w:w="3558" w:type="pct"/>
            <w:tcBorders>
              <w:top w:val="single" w:color="010101" w:sz="6" w:space="0"/>
              <w:left w:val="single" w:color="010101" w:sz="6" w:space="0"/>
              <w:right w:val="single" w:color="010101" w:sz="6" w:space="0"/>
            </w:tcBorders>
            <w:vAlign w:val="center"/>
          </w:tcPr>
          <w:p w14:paraId="0FCB2B96">
            <w:r>
              <w:rPr>
                <w:rFonts w:hint="eastAsia"/>
              </w:rPr>
              <w:t>根据投标人的企业规模、资质等级、组织机构、研发能力、软硬件设施、发展情况、财务状况（总资产、负债率、利润等）和经营信誉（诉讼、荣誉奖项等）打分。</w:t>
            </w:r>
          </w:p>
          <w:p w14:paraId="71E42166">
            <w:r>
              <w:rPr>
                <w:rFonts w:hint="eastAsia"/>
              </w:rPr>
              <w:t>优良(1-2]分；一般[0-1]分</w:t>
            </w:r>
          </w:p>
        </w:tc>
        <w:tc>
          <w:tcPr>
            <w:tcW w:w="585" w:type="pct"/>
            <w:tcBorders>
              <w:top w:val="single" w:color="010101" w:sz="6" w:space="0"/>
              <w:left w:val="single" w:color="010101" w:sz="6" w:space="0"/>
              <w:bottom w:val="single" w:color="010101" w:sz="6" w:space="0"/>
              <w:right w:val="single" w:color="010101" w:sz="6" w:space="0"/>
            </w:tcBorders>
          </w:tcPr>
          <w:p w14:paraId="7041A90E">
            <w:pPr>
              <w:snapToGrid w:val="0"/>
              <w:rPr>
                <w:szCs w:val="21"/>
              </w:rPr>
            </w:pPr>
            <w:r>
              <w:rPr>
                <w:szCs w:val="21"/>
              </w:rPr>
              <w:t> </w:t>
            </w:r>
          </w:p>
        </w:tc>
      </w:tr>
      <w:tr w14:paraId="764110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251" w:type="pct"/>
            <w:tcBorders>
              <w:top w:val="single" w:color="010101" w:sz="6" w:space="0"/>
              <w:left w:val="single" w:color="010101" w:sz="6" w:space="0"/>
              <w:right w:val="single" w:color="010101" w:sz="6" w:space="0"/>
            </w:tcBorders>
            <w:vAlign w:val="center"/>
          </w:tcPr>
          <w:p w14:paraId="6193498D">
            <w:pPr>
              <w:snapToGrid w:val="0"/>
              <w:jc w:val="center"/>
              <w:rPr>
                <w:szCs w:val="21"/>
              </w:rPr>
            </w:pPr>
            <w:r>
              <w:rPr>
                <w:color w:val="010101"/>
                <w:szCs w:val="21"/>
              </w:rPr>
              <w:t>4</w:t>
            </w:r>
          </w:p>
        </w:tc>
        <w:tc>
          <w:tcPr>
            <w:tcW w:w="605" w:type="pct"/>
            <w:tcBorders>
              <w:top w:val="single" w:color="010101" w:sz="6" w:space="0"/>
              <w:left w:val="single" w:color="010101" w:sz="6" w:space="0"/>
              <w:right w:val="single" w:color="010101" w:sz="6" w:space="0"/>
            </w:tcBorders>
            <w:vAlign w:val="center"/>
          </w:tcPr>
          <w:p w14:paraId="2DC80A4B">
            <w:pPr>
              <w:snapToGrid w:val="0"/>
              <w:jc w:val="center"/>
              <w:rPr>
                <w:szCs w:val="21"/>
              </w:rPr>
            </w:pPr>
            <w:r>
              <w:rPr>
                <w:color w:val="010101"/>
                <w:szCs w:val="21"/>
              </w:rPr>
              <w:t>业绩经验</w:t>
            </w:r>
          </w:p>
          <w:p w14:paraId="13F58EF6">
            <w:pPr>
              <w:snapToGrid w:val="0"/>
              <w:jc w:val="center"/>
              <w:rPr>
                <w:szCs w:val="21"/>
              </w:rPr>
            </w:pPr>
            <w:r>
              <w:rPr>
                <w:b/>
                <w:bCs/>
                <w:color w:val="010101"/>
                <w:szCs w:val="21"/>
              </w:rPr>
              <w:t>10分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58E46E1A">
            <w:pPr>
              <w:snapToGrid w:val="0"/>
              <w:rPr>
                <w:color w:val="000000" w:themeColor="text1"/>
                <w:szCs w:val="21"/>
              </w:rPr>
            </w:pPr>
            <w:bookmarkStart w:id="17" w:name="_Hlk80883201"/>
            <w:r>
              <w:rPr>
                <w:rFonts w:hint="eastAsia"/>
                <w:color w:val="000000" w:themeColor="text1"/>
                <w:szCs w:val="21"/>
              </w:rPr>
              <w:t>根据投标产品自2022年1月1日至投标截止日前（以合同签订时间为准）</w:t>
            </w:r>
            <w:bookmarkEnd w:id="17"/>
            <w:r>
              <w:rPr>
                <w:rFonts w:hint="eastAsia"/>
                <w:color w:val="000000" w:themeColor="text1"/>
                <w:szCs w:val="21"/>
              </w:rPr>
              <w:t>（1）案例合同中包含“客服系统”、“客服”相关内容，且合同金额超过100万元的，每有一份得4分，本项最高得8分；</w:t>
            </w:r>
          </w:p>
          <w:p w14:paraId="5304EEE2">
            <w:pPr>
              <w:snapToGrid w:val="0"/>
              <w:rPr>
                <w:color w:val="000000" w:themeColor="text1"/>
                <w:szCs w:val="21"/>
              </w:rPr>
            </w:pPr>
            <w:r>
              <w:rPr>
                <w:rFonts w:hint="eastAsia"/>
                <w:color w:val="000000" w:themeColor="text1"/>
                <w:szCs w:val="21"/>
              </w:rPr>
              <w:t>（2）每提供一个运营商客户服务系统/工单系统建设案例得1分，本项最高得2分。</w:t>
            </w:r>
          </w:p>
          <w:p w14:paraId="6DC6DFFC">
            <w:pPr>
              <w:snapToGrid w:val="0"/>
              <w:rPr>
                <w:szCs w:val="21"/>
              </w:rPr>
            </w:pPr>
            <w:r>
              <w:rPr>
                <w:rFonts w:hint="eastAsia"/>
                <w:color w:val="000000" w:themeColor="text1"/>
                <w:szCs w:val="21"/>
              </w:rPr>
              <w:t>（注：要求提供合同复印件，需提供以下页面：包括甲乙双方签字、盖章页面，提供客户联系方式，否则为无效案例）</w:t>
            </w:r>
          </w:p>
        </w:tc>
        <w:tc>
          <w:tcPr>
            <w:tcW w:w="585" w:type="pct"/>
            <w:tcBorders>
              <w:top w:val="single" w:color="010101" w:sz="6" w:space="0"/>
              <w:left w:val="single" w:color="010101" w:sz="6" w:space="0"/>
              <w:bottom w:val="single" w:color="010101" w:sz="6" w:space="0"/>
              <w:right w:val="single" w:color="010101" w:sz="6" w:space="0"/>
            </w:tcBorders>
          </w:tcPr>
          <w:p w14:paraId="02945481">
            <w:pPr>
              <w:snapToGrid w:val="0"/>
              <w:rPr>
                <w:szCs w:val="21"/>
              </w:rPr>
            </w:pPr>
            <w:r>
              <w:rPr>
                <w:szCs w:val="21"/>
              </w:rPr>
              <w:t> </w:t>
            </w:r>
          </w:p>
        </w:tc>
      </w:tr>
      <w:tr w14:paraId="4D88C2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0A186098">
            <w:pPr>
              <w:snapToGrid w:val="0"/>
              <w:jc w:val="center"/>
              <w:rPr>
                <w:szCs w:val="21"/>
              </w:rPr>
            </w:pPr>
            <w:r>
              <w:rPr>
                <w:color w:val="010101"/>
                <w:szCs w:val="21"/>
              </w:rPr>
              <w:t>5</w:t>
            </w:r>
          </w:p>
        </w:tc>
        <w:tc>
          <w:tcPr>
            <w:tcW w:w="605" w:type="pct"/>
            <w:tcBorders>
              <w:top w:val="single" w:color="010101" w:sz="6" w:space="0"/>
              <w:left w:val="single" w:color="010101" w:sz="6" w:space="0"/>
              <w:bottom w:val="single" w:color="010101" w:sz="6" w:space="0"/>
              <w:right w:val="single" w:color="010101" w:sz="6" w:space="0"/>
            </w:tcBorders>
            <w:vAlign w:val="center"/>
          </w:tcPr>
          <w:p w14:paraId="4552C6A8">
            <w:pPr>
              <w:snapToGrid w:val="0"/>
              <w:jc w:val="center"/>
              <w:rPr>
                <w:szCs w:val="21"/>
              </w:rPr>
            </w:pPr>
            <w:r>
              <w:rPr>
                <w:color w:val="010101"/>
                <w:szCs w:val="21"/>
              </w:rPr>
              <w:t>技术需求</w:t>
            </w:r>
          </w:p>
          <w:p w14:paraId="4C6BDA38">
            <w:pPr>
              <w:snapToGrid w:val="0"/>
              <w:jc w:val="center"/>
              <w:rPr>
                <w:szCs w:val="21"/>
              </w:rPr>
            </w:pPr>
            <w:r>
              <w:rPr>
                <w:rFonts w:hint="eastAsia"/>
                <w:b/>
                <w:bCs/>
                <w:color w:val="010101"/>
                <w:szCs w:val="21"/>
              </w:rPr>
              <w:t>1</w:t>
            </w:r>
            <w:r>
              <w:rPr>
                <w:b/>
                <w:bCs/>
                <w:color w:val="010101"/>
                <w:szCs w:val="21"/>
              </w:rPr>
              <w:t>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31DE7C01">
            <w:r>
              <w:rPr>
                <w:rFonts w:hint="eastAsia"/>
              </w:rPr>
              <w:t>根据供应商对采购文件第五章《技术需求书》的偏离情况打分，基本分1</w:t>
            </w:r>
            <w:r>
              <w:t>0</w:t>
            </w:r>
            <w:r>
              <w:rPr>
                <w:rFonts w:hint="eastAsia"/>
              </w:rPr>
              <w:t>分。</w:t>
            </w:r>
          </w:p>
          <w:p w14:paraId="3A7246FA">
            <w:pPr>
              <w:snapToGrid w:val="0"/>
              <w:rPr>
                <w:szCs w:val="21"/>
              </w:rPr>
            </w:pPr>
            <w:r>
              <w:rPr>
                <w:rFonts w:hint="eastAsia"/>
              </w:rPr>
              <w:t>关键条款（“★”号条款）不满足的直接否决投标；非关键条款每项不满足扣3分，5条以及上非关键条款不满足的视为不实质性响应。</w:t>
            </w:r>
          </w:p>
        </w:tc>
        <w:tc>
          <w:tcPr>
            <w:tcW w:w="585" w:type="pct"/>
            <w:tcBorders>
              <w:top w:val="single" w:color="010101" w:sz="6" w:space="0"/>
              <w:left w:val="single" w:color="010101" w:sz="6" w:space="0"/>
              <w:bottom w:val="single" w:color="010101" w:sz="6" w:space="0"/>
              <w:right w:val="single" w:color="010101" w:sz="6" w:space="0"/>
            </w:tcBorders>
          </w:tcPr>
          <w:p w14:paraId="37469DEE">
            <w:pPr>
              <w:snapToGrid w:val="0"/>
              <w:rPr>
                <w:szCs w:val="21"/>
              </w:rPr>
            </w:pPr>
            <w:r>
              <w:rPr>
                <w:szCs w:val="21"/>
              </w:rPr>
              <w:t> </w:t>
            </w:r>
          </w:p>
        </w:tc>
      </w:tr>
      <w:tr w14:paraId="50BD80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6E9CE99B">
            <w:pPr>
              <w:snapToGrid w:val="0"/>
              <w:jc w:val="center"/>
              <w:rPr>
                <w:color w:val="010101"/>
                <w:szCs w:val="21"/>
              </w:rPr>
            </w:pPr>
            <w:r>
              <w:rPr>
                <w:rFonts w:hint="eastAsia"/>
                <w:color w:val="010101"/>
                <w:szCs w:val="21"/>
              </w:rPr>
              <w:t>6</w:t>
            </w:r>
          </w:p>
        </w:tc>
        <w:tc>
          <w:tcPr>
            <w:tcW w:w="605" w:type="pct"/>
            <w:tcBorders>
              <w:top w:val="single" w:color="010101" w:sz="6" w:space="0"/>
              <w:left w:val="single" w:color="010101" w:sz="6" w:space="0"/>
              <w:bottom w:val="single" w:color="010101" w:sz="6" w:space="0"/>
              <w:right w:val="single" w:color="010101" w:sz="6" w:space="0"/>
            </w:tcBorders>
            <w:vAlign w:val="center"/>
          </w:tcPr>
          <w:p w14:paraId="5E17EC45">
            <w:pPr>
              <w:snapToGrid w:val="0"/>
              <w:jc w:val="center"/>
            </w:pPr>
            <w:r>
              <w:rPr>
                <w:rFonts w:hint="eastAsia"/>
              </w:rPr>
              <w:t>免费保修期</w:t>
            </w:r>
          </w:p>
          <w:p w14:paraId="3BFEE938">
            <w:pPr>
              <w:pStyle w:val="21"/>
              <w:jc w:val="center"/>
              <w:rPr>
                <w:b/>
                <w:bCs/>
              </w:rPr>
            </w:pPr>
            <w:r>
              <w:rPr>
                <w:rFonts w:hint="eastAsia"/>
                <w:b/>
                <w:bCs/>
                <w:sz w:val="21"/>
                <w:szCs w:val="24"/>
              </w:rPr>
              <w:t>6分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6E128C90">
            <w:r>
              <w:rPr>
                <w:rFonts w:hint="eastAsia"/>
              </w:rPr>
              <w:t>根据制造商承诺的免费包修期打分，满足《技术需求书》要求三年的基础上，每增加一年得3分，满分6分。</w:t>
            </w:r>
          </w:p>
          <w:p w14:paraId="69006DC3">
            <w:r>
              <w:rPr>
                <w:rFonts w:hint="eastAsia"/>
              </w:rPr>
              <w:t>提供制造商承诺并加盖制造商公章。</w:t>
            </w:r>
          </w:p>
        </w:tc>
        <w:tc>
          <w:tcPr>
            <w:tcW w:w="585" w:type="pct"/>
            <w:tcBorders>
              <w:top w:val="single" w:color="010101" w:sz="6" w:space="0"/>
              <w:left w:val="single" w:color="010101" w:sz="6" w:space="0"/>
              <w:bottom w:val="single" w:color="010101" w:sz="6" w:space="0"/>
              <w:right w:val="single" w:color="010101" w:sz="6" w:space="0"/>
            </w:tcBorders>
          </w:tcPr>
          <w:p w14:paraId="2EAB1559">
            <w:pPr>
              <w:snapToGrid w:val="0"/>
              <w:rPr>
                <w:szCs w:val="21"/>
              </w:rPr>
            </w:pPr>
          </w:p>
        </w:tc>
      </w:tr>
      <w:tr w14:paraId="46DA6D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51" w:type="pct"/>
            <w:tcBorders>
              <w:top w:val="single" w:color="010101" w:sz="6" w:space="0"/>
              <w:left w:val="single" w:color="010101" w:sz="6" w:space="0"/>
              <w:bottom w:val="single" w:color="auto" w:sz="4" w:space="0"/>
              <w:right w:val="single" w:color="010101" w:sz="6" w:space="0"/>
            </w:tcBorders>
            <w:vAlign w:val="center"/>
          </w:tcPr>
          <w:p w14:paraId="73C61B15">
            <w:pPr>
              <w:snapToGrid w:val="0"/>
              <w:jc w:val="center"/>
              <w:rPr>
                <w:color w:val="010101"/>
                <w:szCs w:val="21"/>
              </w:rPr>
            </w:pPr>
            <w:r>
              <w:rPr>
                <w:rFonts w:hint="eastAsia"/>
                <w:color w:val="010101"/>
                <w:szCs w:val="21"/>
              </w:rPr>
              <w:t>7</w:t>
            </w:r>
          </w:p>
        </w:tc>
        <w:tc>
          <w:tcPr>
            <w:tcW w:w="605" w:type="pct"/>
            <w:tcBorders>
              <w:top w:val="single" w:color="010101" w:sz="6" w:space="0"/>
              <w:left w:val="single" w:color="010101" w:sz="6" w:space="0"/>
              <w:bottom w:val="single" w:color="auto" w:sz="4" w:space="0"/>
              <w:right w:val="single" w:color="010101" w:sz="6" w:space="0"/>
            </w:tcBorders>
            <w:vAlign w:val="center"/>
          </w:tcPr>
          <w:p w14:paraId="118BE507">
            <w:pPr>
              <w:snapToGrid w:val="0"/>
              <w:jc w:val="center"/>
            </w:pPr>
            <w:r>
              <w:rPr>
                <w:rFonts w:hint="eastAsia"/>
              </w:rPr>
              <w:t>供货时限</w:t>
            </w:r>
          </w:p>
          <w:p w14:paraId="234B118B">
            <w:pPr>
              <w:pStyle w:val="21"/>
              <w:jc w:val="center"/>
              <w:rPr>
                <w:b/>
                <w:bCs/>
              </w:rPr>
            </w:pPr>
            <w:r>
              <w:rPr>
                <w:rFonts w:hint="eastAsia"/>
                <w:b/>
                <w:bCs/>
                <w:sz w:val="21"/>
                <w:szCs w:val="24"/>
              </w:rPr>
              <w:t>2分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6A808171">
            <w:r>
              <w:rPr>
                <w:rFonts w:hint="eastAsia"/>
              </w:rPr>
              <w:t>根据供应商的交货期进行评分：</w:t>
            </w:r>
          </w:p>
          <w:p w14:paraId="66F786F5">
            <w:r>
              <w:rPr>
                <w:rFonts w:hint="eastAsia"/>
              </w:rPr>
              <w:t>在满足30天到货的基础上，供应商承诺合同签订后到货时间每提前5天，得1分，满分2分，不提前不得分。</w:t>
            </w:r>
          </w:p>
        </w:tc>
        <w:tc>
          <w:tcPr>
            <w:tcW w:w="585" w:type="pct"/>
            <w:tcBorders>
              <w:top w:val="single" w:color="010101" w:sz="6" w:space="0"/>
              <w:left w:val="single" w:color="010101" w:sz="6" w:space="0"/>
              <w:bottom w:val="single" w:color="010101" w:sz="6" w:space="0"/>
              <w:right w:val="single" w:color="010101" w:sz="6" w:space="0"/>
            </w:tcBorders>
          </w:tcPr>
          <w:p w14:paraId="0FA442F5">
            <w:pPr>
              <w:snapToGrid w:val="0"/>
              <w:rPr>
                <w:szCs w:val="21"/>
              </w:rPr>
            </w:pPr>
          </w:p>
        </w:tc>
      </w:tr>
      <w:tr w14:paraId="710474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67D610BA">
            <w:pPr>
              <w:snapToGrid w:val="0"/>
              <w:jc w:val="center"/>
              <w:rPr>
                <w:szCs w:val="21"/>
              </w:rPr>
            </w:pPr>
            <w:r>
              <w:rPr>
                <w:rFonts w:hint="eastAsia"/>
                <w:szCs w:val="21"/>
              </w:rPr>
              <w:t>8</w:t>
            </w:r>
          </w:p>
        </w:tc>
        <w:tc>
          <w:tcPr>
            <w:tcW w:w="605" w:type="pct"/>
            <w:tcBorders>
              <w:top w:val="single" w:color="auto" w:sz="4" w:space="0"/>
              <w:left w:val="single" w:color="auto" w:sz="4" w:space="0"/>
              <w:bottom w:val="single" w:color="auto" w:sz="4" w:space="0"/>
              <w:right w:val="single" w:color="auto" w:sz="4" w:space="0"/>
            </w:tcBorders>
            <w:vAlign w:val="center"/>
          </w:tcPr>
          <w:p w14:paraId="523CA422">
            <w:pPr>
              <w:pStyle w:val="21"/>
              <w:jc w:val="center"/>
              <w:rPr>
                <w:color w:val="010101"/>
                <w:sz w:val="21"/>
                <w:szCs w:val="21"/>
              </w:rPr>
            </w:pPr>
            <w:r>
              <w:rPr>
                <w:rFonts w:hint="eastAsia"/>
                <w:color w:val="010101"/>
                <w:sz w:val="21"/>
                <w:szCs w:val="21"/>
              </w:rPr>
              <w:t>服务人员</w:t>
            </w:r>
          </w:p>
          <w:p w14:paraId="0C205742">
            <w:pPr>
              <w:pStyle w:val="21"/>
              <w:jc w:val="center"/>
              <w:rPr>
                <w:color w:val="010101"/>
                <w:sz w:val="21"/>
                <w:szCs w:val="21"/>
              </w:rPr>
            </w:pPr>
            <w:r>
              <w:rPr>
                <w:rFonts w:hint="eastAsia"/>
                <w:color w:val="010101"/>
                <w:sz w:val="21"/>
                <w:szCs w:val="21"/>
              </w:rPr>
              <w:t>资质</w:t>
            </w:r>
          </w:p>
          <w:p w14:paraId="1701C3B1">
            <w:pPr>
              <w:pStyle w:val="21"/>
              <w:jc w:val="center"/>
              <w:rPr>
                <w:color w:val="010101"/>
                <w:sz w:val="21"/>
                <w:szCs w:val="21"/>
              </w:rPr>
            </w:pPr>
            <w:r>
              <w:rPr>
                <w:rFonts w:hint="eastAsia"/>
                <w:b/>
                <w:bCs/>
                <w:color w:val="010101"/>
                <w:sz w:val="21"/>
                <w:szCs w:val="21"/>
              </w:rPr>
              <w:t>4分</w:t>
            </w:r>
          </w:p>
        </w:tc>
        <w:tc>
          <w:tcPr>
            <w:tcW w:w="3558" w:type="pct"/>
            <w:tcBorders>
              <w:top w:val="single" w:color="010101" w:sz="6" w:space="0"/>
              <w:left w:val="single" w:color="auto" w:sz="4" w:space="0"/>
              <w:bottom w:val="single" w:color="010101" w:sz="6" w:space="0"/>
              <w:right w:val="single" w:color="010101" w:sz="6" w:space="0"/>
            </w:tcBorders>
            <w:vAlign w:val="center"/>
          </w:tcPr>
          <w:p w14:paraId="0CD6B994">
            <w:r>
              <w:rPr>
                <w:rFonts w:hint="eastAsia"/>
              </w:rPr>
              <w:t>根据制造商服务人员的资质情况进行打分：</w:t>
            </w:r>
          </w:p>
          <w:p w14:paraId="7F96689D">
            <w:r>
              <w:rPr>
                <w:rFonts w:hint="eastAsia"/>
              </w:rPr>
              <w:t>1、根据制造商项目经理具备的有效期内 CISP、CISSP、PMP、系统集成项目管理高级工程师证书打分，每具备一项得0.5分，最高得</w:t>
            </w:r>
            <w:r>
              <w:t>2</w:t>
            </w:r>
            <w:r>
              <w:rPr>
                <w:rFonts w:hint="eastAsia"/>
              </w:rPr>
              <w:t>分。</w:t>
            </w:r>
          </w:p>
          <w:p w14:paraId="4A515497">
            <w:r>
              <w:rPr>
                <w:rFonts w:hint="eastAsia"/>
              </w:rPr>
              <w:t>2、根据制造商实施工程师具备的有效期内 CISP、CISSP认证证书打分，每具备一项得1分，最高得2分。</w:t>
            </w:r>
          </w:p>
          <w:p w14:paraId="01AADD48">
            <w:pPr>
              <w:snapToGrid w:val="0"/>
              <w:rPr>
                <w:kern w:val="0"/>
                <w:szCs w:val="21"/>
              </w:rPr>
            </w:pPr>
            <w:r>
              <w:rPr>
                <w:rFonts w:hint="eastAsia"/>
              </w:rPr>
              <w:t>注：须提供认证证书、证书持有人员自2023年1月至今任意三个月的社保缴纳证明文件，加盖制造商公章。以上材料缺少即不得分。</w:t>
            </w:r>
          </w:p>
        </w:tc>
        <w:tc>
          <w:tcPr>
            <w:tcW w:w="585" w:type="pct"/>
            <w:tcBorders>
              <w:top w:val="single" w:color="010101" w:sz="6" w:space="0"/>
              <w:left w:val="single" w:color="010101" w:sz="6" w:space="0"/>
              <w:bottom w:val="single" w:color="010101" w:sz="6" w:space="0"/>
              <w:right w:val="single" w:color="010101" w:sz="6" w:space="0"/>
            </w:tcBorders>
            <w:vAlign w:val="center"/>
          </w:tcPr>
          <w:p w14:paraId="2A7881A0">
            <w:pPr>
              <w:snapToGrid w:val="0"/>
              <w:rPr>
                <w:szCs w:val="21"/>
              </w:rPr>
            </w:pPr>
            <w:r>
              <w:rPr>
                <w:szCs w:val="21"/>
              </w:rPr>
              <w:t> </w:t>
            </w:r>
          </w:p>
          <w:p w14:paraId="23A1C01B">
            <w:pPr>
              <w:snapToGrid w:val="0"/>
              <w:rPr>
                <w:szCs w:val="21"/>
              </w:rPr>
            </w:pPr>
          </w:p>
        </w:tc>
      </w:tr>
      <w:tr w14:paraId="259749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3E8837C9">
            <w:pPr>
              <w:snapToGrid w:val="0"/>
              <w:jc w:val="center"/>
              <w:rPr>
                <w:color w:val="010101"/>
                <w:szCs w:val="21"/>
              </w:rPr>
            </w:pPr>
            <w:r>
              <w:rPr>
                <w:rFonts w:hint="eastAsia"/>
                <w:color w:val="010101"/>
                <w:szCs w:val="21"/>
              </w:rPr>
              <w:t>9</w:t>
            </w:r>
          </w:p>
        </w:tc>
        <w:tc>
          <w:tcPr>
            <w:tcW w:w="605" w:type="pct"/>
            <w:tcBorders>
              <w:top w:val="single" w:color="auto" w:sz="4" w:space="0"/>
              <w:left w:val="single" w:color="auto" w:sz="4" w:space="0"/>
              <w:bottom w:val="single" w:color="auto" w:sz="4" w:space="0"/>
              <w:right w:val="single" w:color="auto" w:sz="4" w:space="0"/>
            </w:tcBorders>
            <w:vAlign w:val="center"/>
          </w:tcPr>
          <w:p w14:paraId="5B49C1DA">
            <w:pPr>
              <w:snapToGrid w:val="0"/>
              <w:jc w:val="center"/>
              <w:rPr>
                <w:szCs w:val="21"/>
              </w:rPr>
            </w:pPr>
            <w:r>
              <w:rPr>
                <w:color w:val="010101"/>
                <w:szCs w:val="21"/>
              </w:rPr>
              <w:t>服务能力</w:t>
            </w:r>
          </w:p>
          <w:p w14:paraId="3F77289F">
            <w:pPr>
              <w:snapToGrid w:val="0"/>
              <w:jc w:val="center"/>
              <w:rPr>
                <w:b/>
                <w:bCs/>
                <w:color w:val="010101"/>
                <w:szCs w:val="21"/>
              </w:rPr>
            </w:pPr>
            <w:r>
              <w:rPr>
                <w:rFonts w:hint="eastAsia"/>
                <w:b/>
                <w:bCs/>
                <w:color w:val="010101"/>
                <w:szCs w:val="21"/>
              </w:rPr>
              <w:t>2</w:t>
            </w:r>
            <w:r>
              <w:rPr>
                <w:b/>
                <w:bCs/>
                <w:color w:val="010101"/>
                <w:szCs w:val="21"/>
              </w:rPr>
              <w:t>分</w:t>
            </w:r>
          </w:p>
          <w:p w14:paraId="3B0D5836">
            <w:pPr>
              <w:snapToGrid w:val="0"/>
              <w:jc w:val="center"/>
              <w:rPr>
                <w:color w:val="010101"/>
                <w:szCs w:val="21"/>
              </w:rPr>
            </w:pPr>
          </w:p>
        </w:tc>
        <w:tc>
          <w:tcPr>
            <w:tcW w:w="3558" w:type="pct"/>
            <w:tcBorders>
              <w:top w:val="single" w:color="010101" w:sz="6" w:space="0"/>
              <w:left w:val="single" w:color="auto" w:sz="4" w:space="0"/>
              <w:bottom w:val="single" w:color="010101" w:sz="6" w:space="0"/>
              <w:right w:val="single" w:color="010101" w:sz="6" w:space="0"/>
            </w:tcBorders>
            <w:vAlign w:val="center"/>
          </w:tcPr>
          <w:p w14:paraId="3481606E">
            <w:pPr>
              <w:tabs>
                <w:tab w:val="left" w:pos="0"/>
                <w:tab w:val="left" w:pos="402"/>
              </w:tabs>
              <w:rPr>
                <w:color w:val="0C0C0C" w:themeColor="text1" w:themeTint="F2"/>
                <w:kern w:val="0"/>
                <w:szCs w:val="21"/>
              </w:rPr>
            </w:pPr>
            <w:r>
              <w:rPr>
                <w:rFonts w:hint="eastAsia"/>
                <w:color w:val="0C0C0C" w:themeColor="text1" w:themeTint="F2"/>
                <w:kern w:val="0"/>
                <w:szCs w:val="21"/>
              </w:rPr>
              <w:t>1、</w:t>
            </w:r>
            <w:r>
              <w:rPr>
                <w:color w:val="0C0C0C" w:themeColor="text1" w:themeTint="F2"/>
                <w:kern w:val="0"/>
                <w:szCs w:val="21"/>
              </w:rPr>
              <w:t>根据</w:t>
            </w:r>
            <w:r>
              <w:rPr>
                <w:rFonts w:hint="eastAsia"/>
                <w:color w:val="0C0C0C" w:themeColor="text1" w:themeTint="F2"/>
                <w:kern w:val="0"/>
                <w:szCs w:val="21"/>
              </w:rPr>
              <w:t>制造商</w:t>
            </w:r>
            <w:r>
              <w:rPr>
                <w:color w:val="0C0C0C" w:themeColor="text1" w:themeTint="F2"/>
                <w:kern w:val="0"/>
                <w:szCs w:val="21"/>
              </w:rPr>
              <w:t>售后服务体系（包括但不限于售后</w:t>
            </w:r>
            <w:r>
              <w:rPr>
                <w:rFonts w:hint="eastAsia"/>
                <w:color w:val="0C0C0C" w:themeColor="text1" w:themeTint="F2"/>
                <w:kern w:val="0"/>
                <w:szCs w:val="21"/>
              </w:rPr>
              <w:t>服务内容、</w:t>
            </w:r>
            <w:r>
              <w:rPr>
                <w:color w:val="0C0C0C" w:themeColor="text1" w:themeTint="F2"/>
                <w:kern w:val="0"/>
                <w:szCs w:val="21"/>
              </w:rPr>
              <w:t>服务响应、应急方案、应急维护响应时间、故障响应支持、产品升级及维护服务）和技术培训计划打分。</w:t>
            </w:r>
          </w:p>
          <w:p w14:paraId="48AAB067">
            <w:pPr>
              <w:snapToGrid w:val="0"/>
              <w:rPr>
                <w:color w:val="0C0C0C" w:themeColor="text1" w:themeTint="F2"/>
                <w:kern w:val="0"/>
                <w:szCs w:val="21"/>
              </w:rPr>
            </w:pPr>
            <w:r>
              <w:rPr>
                <w:color w:val="0C0C0C" w:themeColor="text1" w:themeTint="F2"/>
                <w:kern w:val="0"/>
                <w:szCs w:val="21"/>
              </w:rPr>
              <w:t>优良(1，2]分；一般[0，1]分。</w:t>
            </w:r>
          </w:p>
        </w:tc>
        <w:tc>
          <w:tcPr>
            <w:tcW w:w="585" w:type="pct"/>
            <w:tcBorders>
              <w:top w:val="single" w:color="010101" w:sz="6" w:space="0"/>
              <w:left w:val="single" w:color="010101" w:sz="6" w:space="0"/>
              <w:bottom w:val="single" w:color="010101" w:sz="6" w:space="0"/>
              <w:right w:val="single" w:color="010101" w:sz="6" w:space="0"/>
            </w:tcBorders>
            <w:vAlign w:val="center"/>
          </w:tcPr>
          <w:p w14:paraId="782F79AF">
            <w:pPr>
              <w:snapToGrid w:val="0"/>
              <w:rPr>
                <w:szCs w:val="21"/>
              </w:rPr>
            </w:pPr>
          </w:p>
          <w:p w14:paraId="29BF2BEA">
            <w:pPr>
              <w:pStyle w:val="21"/>
            </w:pPr>
          </w:p>
        </w:tc>
      </w:tr>
    </w:tbl>
    <w:p w14:paraId="159EBBD0">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62CD9E30">
      <w:pPr>
        <w:pStyle w:val="2"/>
        <w:numPr>
          <w:ilvl w:val="0"/>
          <w:numId w:val="0"/>
        </w:numPr>
        <w:spacing w:before="0" w:after="0" w:line="360" w:lineRule="auto"/>
        <w:rPr>
          <w:b/>
          <w:color w:val="000000"/>
          <w:sz w:val="36"/>
          <w:szCs w:val="36"/>
        </w:rPr>
      </w:pPr>
      <w:r>
        <w:br w:type="page"/>
      </w:r>
      <w:bookmarkStart w:id="18" w:name="_Toc69378618"/>
      <w:r>
        <w:rPr>
          <w:rFonts w:hint="eastAsia"/>
          <w:b/>
          <w:sz w:val="36"/>
          <w:szCs w:val="36"/>
        </w:rPr>
        <w:t>第四章</w:t>
      </w:r>
      <w:r>
        <w:rPr>
          <w:b/>
          <w:sz w:val="36"/>
          <w:szCs w:val="36"/>
        </w:rPr>
        <w:t>合同格式</w:t>
      </w:r>
      <w:bookmarkEnd w:id="18"/>
    </w:p>
    <w:p w14:paraId="03E128A0">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14:paraId="4820A794">
      <w:pPr>
        <w:widowControl/>
        <w:spacing w:line="300" w:lineRule="auto"/>
        <w:jc w:val="left"/>
        <w:rPr>
          <w:b/>
          <w:color w:val="000000"/>
        </w:rPr>
      </w:pPr>
      <w:r>
        <w:rPr>
          <w:rFonts w:eastAsia="黑体"/>
          <w:bCs/>
          <w:color w:val="000000"/>
          <w:sz w:val="52"/>
          <w:szCs w:val="52"/>
        </w:rPr>
        <w:br w:type="page"/>
      </w:r>
    </w:p>
    <w:p w14:paraId="50B1AD09">
      <w:pPr>
        <w:spacing w:line="300" w:lineRule="auto"/>
        <w:jc w:val="center"/>
        <w:rPr>
          <w:rFonts w:ascii="黑体" w:hAnsi="宋体" w:eastAsia="黑体"/>
          <w:color w:val="000000"/>
          <w:kern w:val="0"/>
        </w:rPr>
      </w:pPr>
      <w:r>
        <w:rPr>
          <w:rFonts w:hint="eastAsia" w:eastAsia="黑体"/>
          <w:color w:val="000000"/>
          <w:sz w:val="37"/>
        </w:rPr>
        <w:t>合同格式</w:t>
      </w:r>
    </w:p>
    <w:p w14:paraId="19D86683">
      <w:pPr>
        <w:spacing w:line="360" w:lineRule="auto"/>
        <w:ind w:firstLine="422" w:firstLineChars="200"/>
        <w:rPr>
          <w:rFonts w:ascii="宋体" w:hAnsi="宋体" w:cs="宋体"/>
          <w:color w:val="000000"/>
          <w:szCs w:val="21"/>
        </w:rPr>
      </w:pPr>
      <w:r>
        <w:rPr>
          <w:rFonts w:hint="eastAsia" w:ascii="宋体" w:hAnsi="宋体" w:cs="宋体"/>
          <w:b/>
          <w:color w:val="000000"/>
          <w:szCs w:val="21"/>
          <w:u w:val="single"/>
        </w:rPr>
        <w:t>江苏省广电有线信息网络股份有限公司（以下简称“甲方”）</w:t>
      </w:r>
      <w:r>
        <w:rPr>
          <w:rFonts w:hint="eastAsia" w:ascii="宋体" w:hAnsi="宋体" w:cs="宋体"/>
          <w:color w:val="000000"/>
          <w:szCs w:val="21"/>
        </w:rPr>
        <w:t>就</w:t>
      </w:r>
      <w:r>
        <w:rPr>
          <w:rFonts w:hint="eastAsia" w:ascii="宋体" w:hAnsi="宋体" w:cs="宋体"/>
          <w:b/>
          <w:color w:val="000000"/>
          <w:szCs w:val="21"/>
          <w:u w:val="single"/>
        </w:rPr>
        <w:t>O域系统适老化改造</w:t>
      </w:r>
      <w:r>
        <w:rPr>
          <w:rFonts w:hint="eastAsia" w:ascii="宋体" w:hAnsi="宋体" w:cs="宋体"/>
          <w:color w:val="000000"/>
          <w:szCs w:val="21"/>
        </w:rPr>
        <w:t>的采购及相关服务组织了竞争性谈判，经评委会严格评审，本项目由</w:t>
      </w:r>
      <w:r>
        <w:rPr>
          <w:rFonts w:hint="eastAsia" w:ascii="宋体" w:hAnsi="宋体" w:cs="宋体"/>
          <w:b/>
          <w:color w:val="000000"/>
          <w:szCs w:val="21"/>
          <w:u w:val="single"/>
        </w:rPr>
        <w:t xml:space="preserve">  公司（以下简称“乙方”）</w:t>
      </w:r>
      <w:r>
        <w:rPr>
          <w:rFonts w:hint="eastAsia" w:ascii="宋体" w:hAnsi="宋体" w:cs="宋体"/>
          <w:color w:val="000000"/>
          <w:szCs w:val="21"/>
        </w:rPr>
        <w:t>中选。</w:t>
      </w:r>
    </w:p>
    <w:p w14:paraId="7330476D">
      <w:pPr>
        <w:spacing w:line="360" w:lineRule="auto"/>
        <w:ind w:firstLine="420" w:firstLineChars="200"/>
        <w:rPr>
          <w:rFonts w:ascii="宋体" w:hAnsi="宋体" w:cs="宋体"/>
          <w:color w:val="000000"/>
          <w:szCs w:val="21"/>
        </w:rPr>
      </w:pPr>
      <w:r>
        <w:rPr>
          <w:rFonts w:hint="eastAsia" w:ascii="宋体" w:hAnsi="宋体" w:cs="宋体"/>
          <w:bCs/>
          <w:color w:val="000000"/>
          <w:szCs w:val="21"/>
        </w:rPr>
        <w:t>甲、乙双方根据</w:t>
      </w:r>
      <w:r>
        <w:rPr>
          <w:rFonts w:hint="eastAsia" w:ascii="宋体" w:hAnsi="宋体" w:cs="宋体"/>
          <w:b/>
          <w:color w:val="000000"/>
          <w:szCs w:val="21"/>
          <w:u w:val="single"/>
        </w:rPr>
        <w:t>O域系统适老化改造</w:t>
      </w:r>
      <w:r>
        <w:rPr>
          <w:rFonts w:hint="eastAsia" w:ascii="宋体" w:hAnsi="宋体" w:cs="宋体"/>
          <w:color w:val="000000"/>
          <w:szCs w:val="21"/>
        </w:rPr>
        <w:t>竞争性谈判文件的规定、乙方响应文件及谈判时乙方做出的书面承诺，依法签订本合同。</w:t>
      </w:r>
    </w:p>
    <w:p w14:paraId="24E90266">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19" w:name="_Toc69378619"/>
      <w:bookmarkStart w:id="20" w:name="_Toc69378620"/>
      <w:r>
        <w:rPr>
          <w:rFonts w:hint="eastAsia" w:ascii="宋体" w:hAnsi="宋体" w:eastAsia="宋体" w:cs="宋体"/>
          <w:b/>
          <w:bCs w:val="0"/>
          <w:sz w:val="21"/>
          <w:szCs w:val="21"/>
        </w:rPr>
        <w:t>一、项目标的和内容</w:t>
      </w:r>
      <w:bookmarkEnd w:id="19"/>
    </w:p>
    <w:p w14:paraId="166FD811">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项目标的内容包括乙方按照甲方具体要求供应“</w:t>
      </w:r>
      <w:r>
        <w:rPr>
          <w:rFonts w:hint="eastAsia" w:ascii="宋体" w:hAnsi="宋体" w:cs="宋体"/>
          <w:b/>
          <w:color w:val="000000"/>
          <w:szCs w:val="21"/>
          <w:u w:val="single"/>
        </w:rPr>
        <w:t>O域系统适老化改造项目</w:t>
      </w:r>
      <w:r>
        <w:rPr>
          <w:rFonts w:hint="eastAsia" w:ascii="宋体" w:hAnsi="宋体" w:cs="宋体"/>
          <w:szCs w:val="21"/>
        </w:rPr>
        <w:t>”提供软件开发服务，并完成所有系统的安装、调试、对接及操作培训工作，同时乙方承诺配合甲方及甲方指定的厂商完成相关的系统集成。具体开发内容明细及总价等详见附件二：价格表。</w:t>
      </w:r>
    </w:p>
    <w:p w14:paraId="0DFAD67E">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二、合同总价</w:t>
      </w:r>
      <w:bookmarkEnd w:id="20"/>
    </w:p>
    <w:p w14:paraId="3C516E89">
      <w:pPr>
        <w:numPr>
          <w:ilvl w:val="1"/>
          <w:numId w:val="5"/>
        </w:numPr>
        <w:tabs>
          <w:tab w:val="left" w:pos="0"/>
          <w:tab w:val="clear" w:pos="1155"/>
        </w:tabs>
        <w:spacing w:line="360" w:lineRule="auto"/>
        <w:ind w:left="0" w:firstLine="0"/>
        <w:rPr>
          <w:rFonts w:ascii="宋体" w:hAnsi="宋体" w:cs="宋体"/>
          <w:color w:val="000000"/>
          <w:szCs w:val="21"/>
        </w:rPr>
      </w:pPr>
      <w:r>
        <w:rPr>
          <w:rFonts w:hint="eastAsia" w:ascii="宋体" w:hAnsi="宋体" w:cs="宋体"/>
          <w:color w:val="000000"/>
          <w:szCs w:val="21"/>
        </w:rPr>
        <w:t>合同总价</w:t>
      </w:r>
      <w:r>
        <w:rPr>
          <w:rFonts w:hint="eastAsia" w:ascii="宋体" w:hAnsi="宋体" w:cs="宋体"/>
          <w:b/>
          <w:color w:val="000000"/>
          <w:szCs w:val="21"/>
        </w:rPr>
        <w:t>（人民币大写）：</w:t>
      </w:r>
      <w:r>
        <w:rPr>
          <w:rFonts w:hint="eastAsia" w:ascii="宋体" w:hAnsi="宋体" w:cs="宋体"/>
          <w:color w:val="000000"/>
          <w:szCs w:val="21"/>
        </w:rPr>
        <w:t>。</w:t>
      </w:r>
    </w:p>
    <w:p w14:paraId="315D7A26">
      <w:pPr>
        <w:spacing w:line="360" w:lineRule="auto"/>
        <w:ind w:firstLine="1265" w:firstLineChars="600"/>
        <w:rPr>
          <w:rFonts w:ascii="宋体" w:hAnsi="宋体" w:cs="宋体"/>
          <w:color w:val="000000"/>
          <w:szCs w:val="21"/>
        </w:rPr>
      </w:pPr>
      <w:r>
        <w:rPr>
          <w:rFonts w:hint="eastAsia" w:ascii="宋体" w:hAnsi="宋体" w:cs="宋体"/>
          <w:b/>
          <w:color w:val="000000"/>
          <w:szCs w:val="21"/>
        </w:rPr>
        <w:t>（人民币小写）：</w:t>
      </w:r>
      <w:r>
        <w:rPr>
          <w:rFonts w:hint="eastAsia" w:ascii="宋体" w:hAnsi="宋体" w:cs="宋体"/>
          <w:b/>
          <w:color w:val="000000"/>
          <w:szCs w:val="21"/>
          <w:u w:val="single"/>
        </w:rPr>
        <w:t>￥</w:t>
      </w:r>
      <w:r>
        <w:rPr>
          <w:rFonts w:hint="eastAsia" w:ascii="宋体" w:hAnsi="宋体" w:cs="宋体"/>
          <w:color w:val="000000"/>
          <w:szCs w:val="21"/>
        </w:rPr>
        <w:t>。</w:t>
      </w:r>
    </w:p>
    <w:p w14:paraId="18EE10A7">
      <w:pPr>
        <w:numPr>
          <w:ilvl w:val="1"/>
          <w:numId w:val="5"/>
        </w:numPr>
        <w:tabs>
          <w:tab w:val="left" w:pos="0"/>
          <w:tab w:val="clear" w:pos="1155"/>
        </w:tabs>
        <w:spacing w:line="360" w:lineRule="auto"/>
        <w:ind w:left="0" w:firstLine="0"/>
        <w:rPr>
          <w:rFonts w:ascii="宋体" w:hAnsi="宋体" w:cs="宋体"/>
          <w:szCs w:val="21"/>
        </w:rPr>
      </w:pPr>
      <w:bookmarkStart w:id="21" w:name="_Hlk70610090"/>
      <w:r>
        <w:rPr>
          <w:rFonts w:hint="eastAsia" w:ascii="宋体" w:hAnsi="宋体" w:cs="宋体"/>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cs="宋体"/>
          <w:color w:val="262626"/>
          <w:szCs w:val="21"/>
        </w:rPr>
        <w:t>甲</w:t>
      </w:r>
      <w:r>
        <w:rPr>
          <w:rFonts w:hint="eastAsia" w:ascii="宋体" w:hAnsi="宋体" w:cs="宋体"/>
          <w:szCs w:val="21"/>
        </w:rPr>
        <w:t>方不再以任何名义、任何方式向</w:t>
      </w:r>
      <w:r>
        <w:rPr>
          <w:rFonts w:hint="eastAsia" w:ascii="宋体" w:hAnsi="宋体" w:cs="宋体"/>
          <w:color w:val="262626"/>
          <w:szCs w:val="21"/>
        </w:rPr>
        <w:t>乙</w:t>
      </w:r>
      <w:r>
        <w:rPr>
          <w:rFonts w:hint="eastAsia" w:ascii="宋体" w:hAnsi="宋体" w:cs="宋体"/>
          <w:szCs w:val="21"/>
        </w:rPr>
        <w:t>方支付费用。</w:t>
      </w:r>
    </w:p>
    <w:p w14:paraId="15DE097C">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当国家法定增值税税率发生变更，甲乙双方约定以含税价格不变作为基准，调整增值税税额</w:t>
      </w:r>
      <w:bookmarkEnd w:id="21"/>
      <w:r>
        <w:rPr>
          <w:rFonts w:hint="eastAsia" w:ascii="宋体" w:hAnsi="宋体" w:cs="宋体"/>
          <w:szCs w:val="21"/>
        </w:rPr>
        <w:t>。</w:t>
      </w:r>
    </w:p>
    <w:p w14:paraId="04FD9F95">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三、付款方式及期限</w:t>
      </w:r>
    </w:p>
    <w:p w14:paraId="06F9BF5E">
      <w:pPr>
        <w:tabs>
          <w:tab w:val="left" w:pos="0"/>
        </w:tabs>
        <w:spacing w:line="360" w:lineRule="auto"/>
        <w:rPr>
          <w:rFonts w:ascii="宋体" w:hAnsi="宋体" w:cs="宋体"/>
          <w:szCs w:val="21"/>
        </w:rPr>
      </w:pPr>
      <w:bookmarkStart w:id="22" w:name="_Toc69378621"/>
      <w:r>
        <w:rPr>
          <w:rFonts w:hint="eastAsia" w:ascii="宋体" w:hAnsi="宋体" w:cs="宋体"/>
          <w:szCs w:val="21"/>
        </w:rPr>
        <w:t>1、付款方式：全部款项均70%以电汇方式汇入乙方账号，30%以半年期银行承兑汇票支付。禁止将货款划入其他账号或支付现金。如乙方的收款账号和开户行变更，须及时以书面形式通知甲方，通知须盖有乙方的合同章和财务章。</w:t>
      </w:r>
    </w:p>
    <w:p w14:paraId="61CFC4CA">
      <w:pPr>
        <w:tabs>
          <w:tab w:val="left" w:pos="0"/>
        </w:tabs>
        <w:spacing w:line="360" w:lineRule="auto"/>
        <w:rPr>
          <w:rFonts w:ascii="宋体" w:hAnsi="宋体" w:cs="宋体"/>
          <w:color w:val="000000"/>
          <w:szCs w:val="21"/>
        </w:rPr>
      </w:pPr>
      <w:r>
        <w:rPr>
          <w:rFonts w:hint="eastAsia" w:ascii="宋体" w:hAnsi="宋体" w:cs="宋体"/>
          <w:szCs w:val="21"/>
        </w:rPr>
        <w:t>2、付款期限：合同签订后1个月内，在提供现有/原有机器人性能指标对比，证明现有机器人及资源池性能不低于已有资源相应指标后，甲方电汇支付乙方合同总价的30%，即人民币    ；系统通过初验后1个月内，甲方电汇支付乙方合同总价的30%，即人民币    ；系统通过终验后1个月内，甲方以半年期银行承兑汇票支付乙方合同总价的30%，即人民币    ；10%余款即人民币    ，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r>
        <w:rPr>
          <w:rFonts w:hint="eastAsia" w:ascii="宋体" w:hAnsi="宋体" w:cs="宋体"/>
          <w:color w:val="000000"/>
          <w:szCs w:val="21"/>
        </w:rPr>
        <w:t>3．质量保证金：质量保</w:t>
      </w:r>
      <w:r>
        <w:rPr>
          <w:rFonts w:hint="eastAsia" w:ascii="宋体" w:hAnsi="宋体" w:cs="宋体"/>
          <w:szCs w:val="21"/>
        </w:rPr>
        <w:t>证金包含对履约的保证、对质量的保证和廉政的保证。在合同履</w:t>
      </w:r>
      <w:r>
        <w:rPr>
          <w:rFonts w:hint="eastAsia" w:ascii="宋体" w:hAnsi="宋体" w:cs="宋体"/>
          <w:color w:val="000000"/>
          <w:szCs w:val="21"/>
        </w:rPr>
        <w:t>行过程中，如乙方应承担履约保证、质量保证或廉政保证中约定的保证责任，甲方有权直接在质量保证金中扣除；扣除后保证金不足的，乙方应在五个工作日内补足，或由甲方直接在应付账款中扣除。</w:t>
      </w:r>
    </w:p>
    <w:p w14:paraId="1F4AD873">
      <w:pPr>
        <w:tabs>
          <w:tab w:val="left" w:pos="0"/>
        </w:tabs>
        <w:spacing w:line="360" w:lineRule="auto"/>
        <w:rPr>
          <w:rFonts w:ascii="宋体" w:hAnsi="宋体" w:cs="宋体"/>
          <w:color w:val="000000"/>
          <w:szCs w:val="21"/>
        </w:rPr>
      </w:pPr>
      <w:r>
        <w:rPr>
          <w:rFonts w:hint="eastAsia" w:ascii="宋体" w:hAnsi="宋体" w:cs="宋体"/>
          <w:color w:val="000000"/>
          <w:szCs w:val="21"/>
        </w:rPr>
        <w:t>4．付款前，乙方必须按照国家有关发票管理规定，向甲方</w:t>
      </w:r>
      <w:r>
        <w:rPr>
          <w:rFonts w:hint="eastAsia" w:ascii="宋体" w:hAnsi="宋体" w:cs="宋体"/>
          <w:szCs w:val="21"/>
        </w:rPr>
        <w:t>提供</w:t>
      </w:r>
      <w:r>
        <w:rPr>
          <w:rFonts w:hint="eastAsia" w:ascii="宋体" w:hAnsi="宋体" w:cs="宋体"/>
          <w:color w:val="000000"/>
          <w:szCs w:val="21"/>
        </w:rPr>
        <w:t>增值税专用发票，由甲方审核无误后再支付货款，</w:t>
      </w:r>
      <w:r>
        <w:rPr>
          <w:rFonts w:hint="eastAsia" w:ascii="宋体" w:hAnsi="宋体" w:cs="宋体"/>
          <w:szCs w:val="21"/>
        </w:rPr>
        <w:t>否则</w:t>
      </w:r>
      <w:r>
        <w:rPr>
          <w:rFonts w:hint="eastAsia" w:ascii="宋体" w:hAnsi="宋体" w:cs="宋体"/>
          <w:color w:val="000000"/>
          <w:szCs w:val="21"/>
        </w:rPr>
        <w:t>甲</w:t>
      </w:r>
      <w:r>
        <w:rPr>
          <w:rFonts w:hint="eastAsia" w:ascii="宋体" w:hAnsi="宋体" w:cs="宋体"/>
          <w:szCs w:val="21"/>
        </w:rPr>
        <w:t>方有权拒绝或迟延支付货款，且不影响</w:t>
      </w:r>
      <w:r>
        <w:rPr>
          <w:rFonts w:hint="eastAsia" w:ascii="宋体" w:hAnsi="宋体" w:cs="宋体"/>
          <w:color w:val="000000"/>
          <w:szCs w:val="21"/>
        </w:rPr>
        <w:t>乙</w:t>
      </w:r>
      <w:r>
        <w:rPr>
          <w:rFonts w:hint="eastAsia" w:ascii="宋体" w:hAnsi="宋体" w:cs="宋体"/>
          <w:szCs w:val="21"/>
        </w:rPr>
        <w:t>方履行本合同项下的义务，</w:t>
      </w:r>
      <w:r>
        <w:rPr>
          <w:rFonts w:hint="eastAsia" w:ascii="宋体" w:hAnsi="宋体" w:cs="宋体"/>
          <w:color w:val="000000"/>
          <w:szCs w:val="21"/>
        </w:rPr>
        <w:t>给甲方造成的损失由乙方承担。</w:t>
      </w:r>
    </w:p>
    <w:p w14:paraId="4325892F">
      <w:pPr>
        <w:tabs>
          <w:tab w:val="left" w:pos="0"/>
        </w:tabs>
        <w:spacing w:line="360" w:lineRule="auto"/>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扣款细则</w:t>
      </w:r>
    </w:p>
    <w:p w14:paraId="797D06DD">
      <w:pPr>
        <w:tabs>
          <w:tab w:val="left" w:pos="0"/>
        </w:tabs>
        <w:spacing w:line="360" w:lineRule="auto"/>
        <w:rPr>
          <w:rFonts w:ascii="宋体" w:hAnsi="宋体" w:cs="宋体"/>
          <w:color w:val="000000"/>
          <w:szCs w:val="21"/>
        </w:rPr>
      </w:pPr>
      <w:r>
        <w:rPr>
          <w:rFonts w:ascii="宋体" w:hAnsi="宋体" w:cs="宋体"/>
          <w:color w:val="000000"/>
          <w:szCs w:val="21"/>
        </w:rPr>
        <w:t>乙方履行义务期间，存在以下情况时，甲方可视情况进行相应的扣款。</w:t>
      </w:r>
      <w:r>
        <w:rPr>
          <w:rFonts w:hint="eastAsia" w:ascii="宋体" w:hAnsi="宋体" w:cs="宋体"/>
          <w:color w:val="000000"/>
          <w:szCs w:val="21"/>
        </w:rPr>
        <w:t>整体考核扣款上限不超过此合同总额的10%，具体参照附件：考核及处罚办法。</w:t>
      </w:r>
    </w:p>
    <w:tbl>
      <w:tblPr>
        <w:tblStyle w:val="53"/>
        <w:tblW w:w="5894" w:type="pct"/>
        <w:tblInd w:w="-744"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6"/>
        <w:gridCol w:w="1433"/>
        <w:gridCol w:w="2433"/>
        <w:gridCol w:w="1427"/>
        <w:gridCol w:w="1496"/>
        <w:gridCol w:w="2502"/>
      </w:tblGrid>
      <w:tr w14:paraId="0512DC7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287" w:type="pct"/>
            <w:vAlign w:val="center"/>
          </w:tcPr>
          <w:p w14:paraId="3F8FCA11">
            <w:pPr>
              <w:spacing w:line="320" w:lineRule="exact"/>
              <w:jc w:val="center"/>
              <w:rPr>
                <w:sz w:val="24"/>
              </w:rPr>
            </w:pPr>
            <w:r>
              <w:rPr>
                <w:rFonts w:hint="eastAsia"/>
                <w:b/>
                <w:bCs/>
                <w:color w:val="010101"/>
                <w:szCs w:val="21"/>
              </w:rPr>
              <w:t>序号</w:t>
            </w:r>
          </w:p>
        </w:tc>
        <w:tc>
          <w:tcPr>
            <w:tcW w:w="727" w:type="pct"/>
            <w:vAlign w:val="center"/>
          </w:tcPr>
          <w:p w14:paraId="62D0D631">
            <w:pPr>
              <w:spacing w:line="320" w:lineRule="exact"/>
              <w:jc w:val="center"/>
              <w:rPr>
                <w:b/>
                <w:bCs/>
                <w:color w:val="010101"/>
                <w:szCs w:val="21"/>
              </w:rPr>
            </w:pPr>
            <w:r>
              <w:rPr>
                <w:rFonts w:hint="eastAsia"/>
                <w:b/>
                <w:bCs/>
                <w:color w:val="010101"/>
                <w:szCs w:val="21"/>
              </w:rPr>
              <w:t>费用类别</w:t>
            </w:r>
          </w:p>
        </w:tc>
        <w:tc>
          <w:tcPr>
            <w:tcW w:w="1234" w:type="pct"/>
            <w:vAlign w:val="center"/>
          </w:tcPr>
          <w:p w14:paraId="3DFC6384">
            <w:pPr>
              <w:spacing w:line="320" w:lineRule="exact"/>
              <w:jc w:val="center"/>
              <w:rPr>
                <w:b/>
                <w:bCs/>
                <w:color w:val="010101"/>
                <w:szCs w:val="21"/>
              </w:rPr>
            </w:pPr>
            <w:r>
              <w:rPr>
                <w:rFonts w:hint="eastAsia"/>
                <w:b/>
                <w:bCs/>
                <w:color w:val="010101"/>
                <w:szCs w:val="21"/>
              </w:rPr>
              <w:t>适用状况</w:t>
            </w:r>
          </w:p>
        </w:tc>
        <w:tc>
          <w:tcPr>
            <w:tcW w:w="724" w:type="pct"/>
            <w:vAlign w:val="center"/>
          </w:tcPr>
          <w:p w14:paraId="47082903">
            <w:pPr>
              <w:spacing w:line="320" w:lineRule="exact"/>
              <w:jc w:val="center"/>
              <w:rPr>
                <w:b/>
                <w:bCs/>
                <w:color w:val="010101"/>
                <w:szCs w:val="21"/>
              </w:rPr>
            </w:pPr>
            <w:r>
              <w:rPr>
                <w:rFonts w:hint="eastAsia"/>
                <w:b/>
                <w:bCs/>
                <w:color w:val="010101"/>
                <w:szCs w:val="21"/>
              </w:rPr>
              <w:t>执行方法</w:t>
            </w:r>
          </w:p>
        </w:tc>
        <w:tc>
          <w:tcPr>
            <w:tcW w:w="759" w:type="pct"/>
            <w:vAlign w:val="center"/>
          </w:tcPr>
          <w:p w14:paraId="28D3779C">
            <w:pPr>
              <w:spacing w:line="320" w:lineRule="exact"/>
              <w:jc w:val="center"/>
              <w:rPr>
                <w:b/>
                <w:bCs/>
                <w:color w:val="010101"/>
                <w:szCs w:val="21"/>
              </w:rPr>
            </w:pPr>
            <w:r>
              <w:rPr>
                <w:rFonts w:hint="eastAsia"/>
                <w:b/>
                <w:bCs/>
                <w:color w:val="010101"/>
                <w:szCs w:val="21"/>
              </w:rPr>
              <w:t>罚款金额</w:t>
            </w:r>
          </w:p>
        </w:tc>
        <w:tc>
          <w:tcPr>
            <w:tcW w:w="1269" w:type="pct"/>
            <w:vAlign w:val="center"/>
          </w:tcPr>
          <w:p w14:paraId="156E711D">
            <w:pPr>
              <w:spacing w:line="320" w:lineRule="exact"/>
              <w:jc w:val="center"/>
              <w:rPr>
                <w:b/>
                <w:bCs/>
                <w:color w:val="010101"/>
                <w:szCs w:val="21"/>
              </w:rPr>
            </w:pPr>
            <w:r>
              <w:rPr>
                <w:rFonts w:hint="eastAsia"/>
                <w:b/>
                <w:bCs/>
                <w:color w:val="010101"/>
                <w:szCs w:val="21"/>
              </w:rPr>
              <w:t>备注</w:t>
            </w:r>
          </w:p>
        </w:tc>
      </w:tr>
      <w:tr w14:paraId="4C107A7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2CFC6CEE">
            <w:pPr>
              <w:spacing w:line="320" w:lineRule="exact"/>
              <w:jc w:val="center"/>
              <w:rPr>
                <w:sz w:val="24"/>
              </w:rPr>
            </w:pPr>
            <w:r>
              <w:rPr>
                <w:rFonts w:hint="eastAsia"/>
                <w:sz w:val="24"/>
              </w:rPr>
              <w:t>1</w:t>
            </w:r>
          </w:p>
        </w:tc>
        <w:tc>
          <w:tcPr>
            <w:tcW w:w="727" w:type="pct"/>
            <w:vAlign w:val="center"/>
          </w:tcPr>
          <w:p w14:paraId="3695C6A6">
            <w:pPr>
              <w:rPr>
                <w:rFonts w:ascii="宋体" w:hAnsi="宋体" w:cs="宋体"/>
                <w:szCs w:val="21"/>
              </w:rPr>
            </w:pPr>
            <w:r>
              <w:rPr>
                <w:rFonts w:hint="eastAsia" w:ascii="宋体" w:hAnsi="宋体" w:cs="宋体"/>
                <w:szCs w:val="21"/>
              </w:rPr>
              <w:t>项目人员缺勤费用</w:t>
            </w:r>
          </w:p>
        </w:tc>
        <w:tc>
          <w:tcPr>
            <w:tcW w:w="1234" w:type="pct"/>
            <w:vAlign w:val="center"/>
          </w:tcPr>
          <w:p w14:paraId="755B6D75">
            <w:pPr>
              <w:rPr>
                <w:rFonts w:ascii="宋体" w:hAnsi="宋体" w:cs="宋体"/>
                <w:szCs w:val="21"/>
              </w:rPr>
            </w:pPr>
            <w:r>
              <w:rPr>
                <w:rFonts w:hint="eastAsia" w:ascii="宋体" w:hAnsi="宋体" w:cs="宋体"/>
                <w:szCs w:val="21"/>
              </w:rPr>
              <w:t>乙方未按照甲方的考勤要求开展工作或未经甲方同意擅自更换项目人员。</w:t>
            </w:r>
          </w:p>
        </w:tc>
        <w:tc>
          <w:tcPr>
            <w:tcW w:w="724" w:type="pct"/>
            <w:vAlign w:val="center"/>
          </w:tcPr>
          <w:p w14:paraId="0AD65E6A">
            <w:pPr>
              <w:rPr>
                <w:rFonts w:ascii="宋体" w:hAnsi="宋体" w:cs="宋体"/>
                <w:szCs w:val="21"/>
              </w:rPr>
            </w:pPr>
            <w:r>
              <w:rPr>
                <w:rFonts w:hint="eastAsia" w:ascii="宋体" w:hAnsi="宋体" w:cs="宋体"/>
                <w:szCs w:val="21"/>
              </w:rPr>
              <w:t>由甲方项目经理提交项目考勤表,提交财务部扣款</w:t>
            </w:r>
          </w:p>
        </w:tc>
        <w:tc>
          <w:tcPr>
            <w:tcW w:w="759" w:type="pct"/>
            <w:vAlign w:val="center"/>
          </w:tcPr>
          <w:p w14:paraId="49893AC3">
            <w:pPr>
              <w:jc w:val="center"/>
              <w:rPr>
                <w:rFonts w:ascii="宋体" w:hAnsi="宋体" w:cs="宋体"/>
                <w:szCs w:val="21"/>
              </w:rPr>
            </w:pPr>
            <w:r>
              <w:rPr>
                <w:rFonts w:hint="eastAsia" w:ascii="宋体" w:hAnsi="宋体" w:cs="宋体"/>
                <w:szCs w:val="21"/>
              </w:rPr>
              <w:t>100元/人天</w:t>
            </w:r>
          </w:p>
        </w:tc>
        <w:tc>
          <w:tcPr>
            <w:tcW w:w="1269" w:type="pct"/>
            <w:vAlign w:val="center"/>
          </w:tcPr>
          <w:p w14:paraId="3559B7FA">
            <w:pPr>
              <w:jc w:val="center"/>
              <w:rPr>
                <w:rFonts w:ascii="宋体" w:hAnsi="宋体" w:cs="宋体"/>
                <w:szCs w:val="21"/>
              </w:rPr>
            </w:pPr>
          </w:p>
        </w:tc>
      </w:tr>
      <w:tr w14:paraId="7A7121E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3A186DD8">
            <w:pPr>
              <w:spacing w:line="320" w:lineRule="exact"/>
              <w:jc w:val="center"/>
              <w:rPr>
                <w:sz w:val="24"/>
              </w:rPr>
            </w:pPr>
            <w:r>
              <w:rPr>
                <w:rFonts w:hint="eastAsia"/>
                <w:sz w:val="24"/>
              </w:rPr>
              <w:t>2</w:t>
            </w:r>
          </w:p>
        </w:tc>
        <w:tc>
          <w:tcPr>
            <w:tcW w:w="727" w:type="pct"/>
            <w:vAlign w:val="center"/>
          </w:tcPr>
          <w:p w14:paraId="1E140257">
            <w:pPr>
              <w:rPr>
                <w:rFonts w:ascii="宋体" w:hAnsi="宋体" w:cs="宋体"/>
                <w:szCs w:val="21"/>
              </w:rPr>
            </w:pPr>
            <w:r>
              <w:rPr>
                <w:rFonts w:hint="eastAsia" w:ascii="宋体" w:hAnsi="宋体" w:cs="宋体"/>
                <w:szCs w:val="21"/>
              </w:rPr>
              <w:t>项目进度滞后费用</w:t>
            </w:r>
          </w:p>
        </w:tc>
        <w:tc>
          <w:tcPr>
            <w:tcW w:w="1234" w:type="pct"/>
            <w:vAlign w:val="center"/>
          </w:tcPr>
          <w:p w14:paraId="56208AC3">
            <w:pPr>
              <w:rPr>
                <w:rFonts w:ascii="宋体" w:hAnsi="宋体" w:cs="宋体"/>
                <w:szCs w:val="21"/>
              </w:rPr>
            </w:pPr>
            <w:r>
              <w:rPr>
                <w:rFonts w:hint="eastAsia" w:ascii="宋体" w:hAnsi="宋体" w:cs="宋体"/>
                <w:szCs w:val="21"/>
              </w:rPr>
              <w:t>乙方未按照提交的项目进度按时完成阶段性工作。</w:t>
            </w:r>
          </w:p>
        </w:tc>
        <w:tc>
          <w:tcPr>
            <w:tcW w:w="724" w:type="pct"/>
            <w:vAlign w:val="center"/>
          </w:tcPr>
          <w:p w14:paraId="5D9691C8">
            <w:pPr>
              <w:rPr>
                <w:rFonts w:ascii="宋体" w:hAnsi="宋体" w:cs="宋体"/>
                <w:szCs w:val="21"/>
              </w:rPr>
            </w:pPr>
            <w:r>
              <w:rPr>
                <w:rFonts w:hint="eastAsia" w:ascii="宋体" w:hAnsi="宋体" w:cs="宋体"/>
                <w:szCs w:val="21"/>
              </w:rPr>
              <w:t>由甲方项目经理完成项目进度确认表，提交财务部扣款</w:t>
            </w:r>
          </w:p>
        </w:tc>
        <w:tc>
          <w:tcPr>
            <w:tcW w:w="759" w:type="pct"/>
            <w:vAlign w:val="center"/>
          </w:tcPr>
          <w:p w14:paraId="56E4041A">
            <w:pPr>
              <w:jc w:val="center"/>
              <w:rPr>
                <w:rFonts w:ascii="宋体" w:hAnsi="宋体" w:cs="宋体"/>
                <w:szCs w:val="21"/>
              </w:rPr>
            </w:pPr>
            <w:r>
              <w:rPr>
                <w:rFonts w:hint="eastAsia" w:ascii="宋体" w:hAnsi="宋体" w:cs="宋体"/>
                <w:szCs w:val="21"/>
              </w:rPr>
              <w:t>10,000元/天</w:t>
            </w:r>
          </w:p>
        </w:tc>
        <w:tc>
          <w:tcPr>
            <w:tcW w:w="1269" w:type="pct"/>
            <w:vAlign w:val="center"/>
          </w:tcPr>
          <w:p w14:paraId="1FD1BF58">
            <w:pPr>
              <w:jc w:val="center"/>
              <w:rPr>
                <w:rFonts w:ascii="宋体" w:hAnsi="宋体" w:cs="宋体"/>
                <w:szCs w:val="21"/>
              </w:rPr>
            </w:pPr>
            <w:r>
              <w:rPr>
                <w:rFonts w:hint="eastAsia" w:ascii="宋体" w:hAnsi="宋体" w:cs="宋体"/>
                <w:szCs w:val="21"/>
              </w:rPr>
              <w:t>由于项目风险等不可抗力原因，进度滞后五个工作日内，提供合理说明经项目经理确认后可免责。</w:t>
            </w:r>
          </w:p>
        </w:tc>
      </w:tr>
      <w:tr w14:paraId="47E6595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668D691B">
            <w:pPr>
              <w:spacing w:line="320" w:lineRule="exact"/>
              <w:jc w:val="center"/>
              <w:rPr>
                <w:sz w:val="24"/>
              </w:rPr>
            </w:pPr>
            <w:r>
              <w:rPr>
                <w:rFonts w:hint="eastAsia"/>
                <w:sz w:val="24"/>
              </w:rPr>
              <w:t>3</w:t>
            </w:r>
          </w:p>
        </w:tc>
        <w:tc>
          <w:tcPr>
            <w:tcW w:w="727" w:type="pct"/>
            <w:vAlign w:val="center"/>
          </w:tcPr>
          <w:p w14:paraId="20736396">
            <w:pPr>
              <w:rPr>
                <w:rFonts w:ascii="宋体" w:hAnsi="宋体" w:cs="宋体"/>
                <w:szCs w:val="21"/>
              </w:rPr>
            </w:pPr>
            <w:r>
              <w:rPr>
                <w:rFonts w:hint="eastAsia" w:ascii="宋体" w:hAnsi="宋体" w:cs="宋体"/>
                <w:szCs w:val="21"/>
              </w:rPr>
              <w:t>产品质量不合格</w:t>
            </w:r>
          </w:p>
        </w:tc>
        <w:tc>
          <w:tcPr>
            <w:tcW w:w="1234" w:type="pct"/>
            <w:vAlign w:val="center"/>
          </w:tcPr>
          <w:p w14:paraId="229C8726">
            <w:pPr>
              <w:rPr>
                <w:rFonts w:ascii="宋体" w:hAnsi="宋体" w:cs="宋体"/>
                <w:szCs w:val="21"/>
              </w:rPr>
            </w:pPr>
            <w:r>
              <w:rPr>
                <w:rFonts w:hint="eastAsia" w:ascii="宋体" w:hAnsi="宋体" w:cs="宋体"/>
                <w:szCs w:val="21"/>
              </w:rPr>
              <w:t>乙方提交的服务不满足事先约定的质量要求。</w:t>
            </w:r>
          </w:p>
        </w:tc>
        <w:tc>
          <w:tcPr>
            <w:tcW w:w="724" w:type="pct"/>
            <w:vAlign w:val="center"/>
          </w:tcPr>
          <w:p w14:paraId="387D753C">
            <w:pPr>
              <w:rPr>
                <w:rFonts w:ascii="宋体" w:hAnsi="宋体" w:cs="宋体"/>
                <w:szCs w:val="21"/>
              </w:rPr>
            </w:pPr>
            <w:r>
              <w:rPr>
                <w:rFonts w:hint="eastAsia" w:ascii="宋体" w:hAnsi="宋体" w:cs="宋体"/>
                <w:szCs w:val="21"/>
              </w:rPr>
              <w:t>由甲方项目经理完成产品质量缺陷说明，提交财务部扣款</w:t>
            </w:r>
          </w:p>
        </w:tc>
        <w:tc>
          <w:tcPr>
            <w:tcW w:w="759" w:type="pct"/>
            <w:vAlign w:val="center"/>
          </w:tcPr>
          <w:p w14:paraId="38B0DC6D">
            <w:pPr>
              <w:jc w:val="center"/>
              <w:rPr>
                <w:rFonts w:ascii="宋体" w:hAnsi="宋体" w:cs="宋体"/>
                <w:szCs w:val="21"/>
              </w:rPr>
            </w:pPr>
            <w:r>
              <w:rPr>
                <w:rFonts w:hint="eastAsia" w:ascii="宋体" w:hAnsi="宋体" w:cs="宋体"/>
                <w:szCs w:val="21"/>
              </w:rPr>
              <w:t>合同款*5%~10%</w:t>
            </w:r>
          </w:p>
        </w:tc>
        <w:tc>
          <w:tcPr>
            <w:tcW w:w="1269" w:type="pct"/>
            <w:vAlign w:val="center"/>
          </w:tcPr>
          <w:p w14:paraId="5F4C8FC2">
            <w:pPr>
              <w:jc w:val="center"/>
              <w:rPr>
                <w:rFonts w:ascii="宋体" w:hAnsi="宋体" w:cs="宋体"/>
                <w:szCs w:val="21"/>
              </w:rPr>
            </w:pPr>
            <w:r>
              <w:rPr>
                <w:rFonts w:hint="eastAsia" w:ascii="宋体" w:hAnsi="宋体" w:cs="宋体"/>
                <w:szCs w:val="21"/>
              </w:rPr>
              <w:t>视问题严重程度</w:t>
            </w:r>
          </w:p>
        </w:tc>
      </w:tr>
      <w:tr w14:paraId="11EDCFE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1BF09856">
            <w:pPr>
              <w:spacing w:line="320" w:lineRule="exact"/>
              <w:jc w:val="center"/>
              <w:rPr>
                <w:sz w:val="24"/>
              </w:rPr>
            </w:pPr>
            <w:r>
              <w:rPr>
                <w:rFonts w:hint="eastAsia"/>
                <w:sz w:val="24"/>
              </w:rPr>
              <w:t>4</w:t>
            </w:r>
          </w:p>
        </w:tc>
        <w:tc>
          <w:tcPr>
            <w:tcW w:w="727" w:type="pct"/>
            <w:vAlign w:val="center"/>
          </w:tcPr>
          <w:p w14:paraId="46E35EC2">
            <w:pPr>
              <w:rPr>
                <w:rFonts w:ascii="宋体" w:hAnsi="宋体" w:cs="宋体"/>
                <w:szCs w:val="21"/>
              </w:rPr>
            </w:pPr>
            <w:r>
              <w:rPr>
                <w:rFonts w:hint="eastAsia" w:ascii="宋体" w:hAnsi="宋体" w:cs="宋体"/>
                <w:szCs w:val="21"/>
              </w:rPr>
              <w:t>技术支持延迟或售后不合格</w:t>
            </w:r>
          </w:p>
        </w:tc>
        <w:tc>
          <w:tcPr>
            <w:tcW w:w="1234" w:type="pct"/>
            <w:vAlign w:val="center"/>
          </w:tcPr>
          <w:p w14:paraId="2941A77D">
            <w:pPr>
              <w:rPr>
                <w:rFonts w:ascii="宋体" w:hAnsi="宋体" w:cs="宋体"/>
                <w:szCs w:val="21"/>
              </w:rPr>
            </w:pPr>
            <w:r>
              <w:rPr>
                <w:rFonts w:hint="eastAsia" w:ascii="宋体" w:hAnsi="宋体" w:cs="宋体"/>
                <w:szCs w:val="21"/>
              </w:rPr>
              <w:t>乙方未在要求的时间内解决甲方提出的符合包修或技术支持范围的问题</w:t>
            </w:r>
          </w:p>
        </w:tc>
        <w:tc>
          <w:tcPr>
            <w:tcW w:w="724" w:type="pct"/>
            <w:vAlign w:val="center"/>
          </w:tcPr>
          <w:p w14:paraId="2FB29591">
            <w:pPr>
              <w:rPr>
                <w:rFonts w:ascii="宋体" w:hAnsi="宋体" w:cs="宋体"/>
                <w:szCs w:val="21"/>
              </w:rPr>
            </w:pPr>
            <w:r>
              <w:rPr>
                <w:rFonts w:hint="eastAsia" w:ascii="宋体" w:hAnsi="宋体" w:cs="宋体"/>
                <w:szCs w:val="21"/>
              </w:rPr>
              <w:t>由甲方项目经理完成售后反馈表，提交财务部扣款</w:t>
            </w:r>
          </w:p>
        </w:tc>
        <w:tc>
          <w:tcPr>
            <w:tcW w:w="759" w:type="pct"/>
            <w:vAlign w:val="center"/>
          </w:tcPr>
          <w:p w14:paraId="765C1A6A">
            <w:pPr>
              <w:jc w:val="center"/>
              <w:rPr>
                <w:rFonts w:ascii="宋体" w:hAnsi="宋体" w:cs="宋体"/>
                <w:szCs w:val="21"/>
              </w:rPr>
            </w:pPr>
            <w:r>
              <w:rPr>
                <w:rFonts w:hint="eastAsia" w:ascii="宋体" w:hAnsi="宋体" w:cs="宋体"/>
                <w:szCs w:val="21"/>
              </w:rPr>
              <w:t>5,000~50,000元</w:t>
            </w:r>
          </w:p>
        </w:tc>
        <w:tc>
          <w:tcPr>
            <w:tcW w:w="1269" w:type="pct"/>
            <w:vAlign w:val="center"/>
          </w:tcPr>
          <w:p w14:paraId="791ECFD9">
            <w:pPr>
              <w:jc w:val="center"/>
              <w:rPr>
                <w:rFonts w:ascii="宋体" w:hAnsi="宋体" w:cs="宋体"/>
                <w:szCs w:val="21"/>
              </w:rPr>
            </w:pPr>
            <w:r>
              <w:rPr>
                <w:rFonts w:hint="eastAsia" w:ascii="宋体" w:hAnsi="宋体" w:cs="宋体"/>
                <w:szCs w:val="21"/>
              </w:rPr>
              <w:t>视问题严重程度</w:t>
            </w:r>
          </w:p>
        </w:tc>
      </w:tr>
      <w:tr w14:paraId="42C3C9C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79DE205B">
            <w:pPr>
              <w:spacing w:line="320" w:lineRule="exact"/>
              <w:jc w:val="center"/>
              <w:rPr>
                <w:sz w:val="24"/>
              </w:rPr>
            </w:pPr>
            <w:r>
              <w:rPr>
                <w:rFonts w:hint="eastAsia"/>
                <w:sz w:val="24"/>
              </w:rPr>
              <w:t>5</w:t>
            </w:r>
          </w:p>
        </w:tc>
        <w:tc>
          <w:tcPr>
            <w:tcW w:w="727" w:type="pct"/>
            <w:vAlign w:val="center"/>
          </w:tcPr>
          <w:p w14:paraId="66BDD6F6">
            <w:pPr>
              <w:rPr>
                <w:rFonts w:ascii="宋体" w:hAnsi="宋体" w:cs="宋体"/>
                <w:szCs w:val="21"/>
              </w:rPr>
            </w:pPr>
            <w:r>
              <w:rPr>
                <w:rFonts w:hint="eastAsia" w:ascii="宋体" w:hAnsi="宋体" w:cs="宋体"/>
                <w:szCs w:val="21"/>
              </w:rPr>
              <w:t>文档缺失或质量不合格</w:t>
            </w:r>
          </w:p>
        </w:tc>
        <w:tc>
          <w:tcPr>
            <w:tcW w:w="1234" w:type="pct"/>
            <w:vAlign w:val="center"/>
          </w:tcPr>
          <w:p w14:paraId="069DBC31">
            <w:pPr>
              <w:rPr>
                <w:rFonts w:ascii="宋体" w:hAnsi="宋体" w:cs="宋体"/>
                <w:szCs w:val="21"/>
              </w:rPr>
            </w:pPr>
            <w:r>
              <w:rPr>
                <w:rFonts w:hint="eastAsia" w:ascii="宋体" w:hAnsi="宋体" w:cs="宋体"/>
                <w:szCs w:val="21"/>
              </w:rPr>
              <w:t>乙方未提供或提供的技术规范、培训材料等文档</w:t>
            </w:r>
          </w:p>
        </w:tc>
        <w:tc>
          <w:tcPr>
            <w:tcW w:w="724" w:type="pct"/>
            <w:vAlign w:val="center"/>
          </w:tcPr>
          <w:p w14:paraId="45023354">
            <w:pPr>
              <w:rPr>
                <w:rFonts w:ascii="宋体" w:hAnsi="宋体" w:cs="宋体"/>
                <w:szCs w:val="21"/>
              </w:rPr>
            </w:pPr>
            <w:r>
              <w:rPr>
                <w:rFonts w:hint="eastAsia" w:ascii="宋体" w:hAnsi="宋体" w:cs="宋体"/>
                <w:szCs w:val="21"/>
              </w:rPr>
              <w:t>由甲方项目经理确认文档条目，提交财务部扣款</w:t>
            </w:r>
          </w:p>
        </w:tc>
        <w:tc>
          <w:tcPr>
            <w:tcW w:w="759" w:type="pct"/>
            <w:vAlign w:val="center"/>
          </w:tcPr>
          <w:p w14:paraId="67E2D622">
            <w:pPr>
              <w:jc w:val="center"/>
              <w:rPr>
                <w:rFonts w:ascii="宋体" w:hAnsi="宋体" w:cs="宋体"/>
                <w:szCs w:val="21"/>
              </w:rPr>
            </w:pPr>
            <w:r>
              <w:rPr>
                <w:rFonts w:hint="eastAsia" w:ascii="宋体" w:hAnsi="宋体" w:cs="宋体"/>
                <w:szCs w:val="21"/>
              </w:rPr>
              <w:t>1,000~5,0000元</w:t>
            </w:r>
          </w:p>
        </w:tc>
        <w:tc>
          <w:tcPr>
            <w:tcW w:w="1269" w:type="pct"/>
            <w:vAlign w:val="center"/>
          </w:tcPr>
          <w:p w14:paraId="509B1613">
            <w:pPr>
              <w:jc w:val="center"/>
              <w:rPr>
                <w:rFonts w:ascii="宋体" w:hAnsi="宋体" w:cs="宋体"/>
                <w:szCs w:val="21"/>
              </w:rPr>
            </w:pPr>
            <w:r>
              <w:rPr>
                <w:rFonts w:hint="eastAsia" w:ascii="宋体" w:hAnsi="宋体" w:cs="宋体"/>
                <w:szCs w:val="21"/>
              </w:rPr>
              <w:t>视文档重要性</w:t>
            </w:r>
          </w:p>
        </w:tc>
      </w:tr>
    </w:tbl>
    <w:p w14:paraId="2560ADF8">
      <w:pPr>
        <w:pStyle w:val="21"/>
      </w:pPr>
    </w:p>
    <w:p w14:paraId="21ECDEF6">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四、产品的质量要求</w:t>
      </w:r>
    </w:p>
    <w:bookmarkEnd w:id="22"/>
    <w:p w14:paraId="6A45C779">
      <w:pPr>
        <w:spacing w:line="360" w:lineRule="auto"/>
        <w:ind w:firstLine="420" w:firstLineChars="200"/>
        <w:rPr>
          <w:rFonts w:ascii="宋体" w:hAnsi="宋体" w:cs="宋体"/>
          <w:szCs w:val="21"/>
        </w:rPr>
      </w:pPr>
      <w:bookmarkStart w:id="23" w:name="_Toc69378633"/>
      <w:r>
        <w:rPr>
          <w:rFonts w:hint="eastAsia" w:ascii="宋体" w:hAnsi="宋体" w:cs="宋体"/>
          <w:szCs w:val="21"/>
        </w:rPr>
        <w:t>乙方所提供产品的服务功能、技术指标、性能和服务实现必须完全满足甲方在“</w:t>
      </w:r>
      <w:r>
        <w:rPr>
          <w:rFonts w:hint="eastAsia" w:ascii="宋体" w:hAnsi="宋体" w:cs="宋体"/>
          <w:b/>
          <w:color w:val="000000"/>
          <w:szCs w:val="21"/>
          <w:u w:val="single"/>
        </w:rPr>
        <w:t>O域系统适老化改造项目</w:t>
      </w:r>
      <w:r>
        <w:rPr>
          <w:rFonts w:hint="eastAsia" w:ascii="宋体" w:hAnsi="宋体" w:cs="宋体"/>
          <w:szCs w:val="21"/>
        </w:rPr>
        <w:t>”招标文件中提出的技术要求，乙方所提供产品的功能与服务实现必须完全遵守投标文件和询标时做出的书面承诺；</w:t>
      </w:r>
      <w:r>
        <w:rPr>
          <w:szCs w:val="21"/>
        </w:rPr>
        <w:t>乙方保证所提供的产品和服务是原厂独立开发产品，不存在权利瑕疵，且须提供产品的出厂检测报告和产品质量合格证明书，并且符合相应技术规定的品质和规格要求，若技术性能无相应说明，则按国家或国际有关部门最新颁布的标准及规范为准。</w:t>
      </w:r>
    </w:p>
    <w:p w14:paraId="05CBC531">
      <w:pPr>
        <w:pStyle w:val="2"/>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五、系统的提交</w:t>
      </w:r>
    </w:p>
    <w:p w14:paraId="731BE671">
      <w:pPr>
        <w:tabs>
          <w:tab w:val="left" w:pos="0"/>
        </w:tabs>
        <w:spacing w:line="360" w:lineRule="auto"/>
        <w:rPr>
          <w:rFonts w:ascii="宋体" w:hAnsi="宋体" w:cs="宋体"/>
          <w:szCs w:val="21"/>
        </w:rPr>
      </w:pPr>
      <w:r>
        <w:rPr>
          <w:rFonts w:hint="eastAsia" w:ascii="宋体" w:hAnsi="宋体" w:cs="宋体"/>
          <w:szCs w:val="21"/>
        </w:rPr>
        <w:t>1. 产品的交货地点为甲方指定地点、指定楼层。</w:t>
      </w:r>
    </w:p>
    <w:p w14:paraId="2125DDD9">
      <w:pPr>
        <w:tabs>
          <w:tab w:val="left" w:pos="0"/>
        </w:tabs>
        <w:spacing w:line="360" w:lineRule="auto"/>
        <w:rPr>
          <w:rFonts w:ascii="宋体" w:hAnsi="宋体" w:cs="宋体"/>
          <w:szCs w:val="21"/>
        </w:rPr>
      </w:pPr>
      <w:r>
        <w:rPr>
          <w:rFonts w:hint="eastAsia" w:ascii="宋体" w:hAnsi="宋体" w:cs="宋体"/>
          <w:szCs w:val="21"/>
        </w:rPr>
        <w:t>2.乙方提交时应同时提供下列技术资料：</w:t>
      </w:r>
    </w:p>
    <w:p w14:paraId="70AC257A">
      <w:pPr>
        <w:tabs>
          <w:tab w:val="left" w:pos="0"/>
        </w:tabs>
        <w:spacing w:line="360" w:lineRule="auto"/>
        <w:rPr>
          <w:rFonts w:ascii="宋体" w:hAnsi="宋体" w:cs="宋体"/>
          <w:szCs w:val="21"/>
        </w:rPr>
      </w:pPr>
      <w:r>
        <w:rPr>
          <w:rFonts w:hint="eastAsia" w:ascii="宋体" w:hAnsi="宋体" w:cs="宋体"/>
          <w:szCs w:val="21"/>
        </w:rPr>
        <w:t>（1）系统检验报告；</w:t>
      </w:r>
    </w:p>
    <w:p w14:paraId="0C5C71DF">
      <w:pPr>
        <w:tabs>
          <w:tab w:val="left" w:pos="0"/>
        </w:tabs>
        <w:spacing w:line="360" w:lineRule="auto"/>
        <w:rPr>
          <w:rFonts w:ascii="宋体" w:hAnsi="宋体" w:cs="宋体"/>
          <w:szCs w:val="21"/>
        </w:rPr>
      </w:pPr>
      <w:r>
        <w:rPr>
          <w:rFonts w:hint="eastAsia" w:ascii="宋体" w:hAnsi="宋体" w:cs="宋体"/>
          <w:szCs w:val="21"/>
        </w:rPr>
        <w:t>（2）接口开发的源代码、接口文档、测试方案、测试记录、测试过程中出现的问题及解决方法、操作手册、使用说明书、系统业务规则等；</w:t>
      </w:r>
    </w:p>
    <w:p w14:paraId="28CFDFD3">
      <w:pPr>
        <w:tabs>
          <w:tab w:val="left" w:pos="0"/>
        </w:tabs>
        <w:spacing w:line="360" w:lineRule="auto"/>
        <w:rPr>
          <w:rFonts w:ascii="宋体" w:hAnsi="宋体" w:cs="宋体"/>
          <w:szCs w:val="21"/>
        </w:rPr>
      </w:pPr>
      <w:r>
        <w:rPr>
          <w:rFonts w:hint="eastAsia" w:ascii="宋体" w:hAnsi="宋体" w:cs="宋体"/>
          <w:szCs w:val="21"/>
        </w:rPr>
        <w:t>（3）招标文件中所要求提交的资料。</w:t>
      </w:r>
    </w:p>
    <w:p w14:paraId="314786DA">
      <w:pPr>
        <w:tabs>
          <w:tab w:val="left" w:pos="0"/>
        </w:tabs>
        <w:spacing w:line="360" w:lineRule="auto"/>
        <w:rPr>
          <w:rFonts w:ascii="宋体" w:hAnsi="宋体" w:cs="宋体"/>
          <w:szCs w:val="21"/>
        </w:rPr>
      </w:pPr>
      <w:r>
        <w:rPr>
          <w:rFonts w:hint="eastAsia" w:ascii="宋体" w:hAnsi="宋体" w:cs="宋体"/>
          <w:szCs w:val="21"/>
        </w:rPr>
        <w:t>3.系统上线后，甲方负责清点开发功能内容。在系统安装调试前，甲乙双方代表在施工现场共同清点验收。若一方因故无法抵达施工现场，则无条件接受另一方清点验收结果。</w:t>
      </w:r>
    </w:p>
    <w:p w14:paraId="7FC665E4">
      <w:pPr>
        <w:tabs>
          <w:tab w:val="left" w:pos="0"/>
        </w:tabs>
        <w:spacing w:line="360" w:lineRule="auto"/>
      </w:pPr>
      <w:r>
        <w:rPr>
          <w:rFonts w:hint="eastAsia" w:ascii="宋体" w:hAnsi="宋体" w:cs="宋体"/>
          <w:szCs w:val="21"/>
        </w:rPr>
        <w:t>4.甲方有权拒绝验收现场的被损坏或有缺陷的或不符合招标文件、乙方投标文件和询标时乙方做出的书面承诺的任何开发成果。</w:t>
      </w:r>
    </w:p>
    <w:p w14:paraId="3253D571">
      <w:pPr>
        <w:pStyle w:val="2"/>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六、运输费用</w:t>
      </w:r>
    </w:p>
    <w:p w14:paraId="39CF7FA8">
      <w:pPr>
        <w:spacing w:line="360" w:lineRule="auto"/>
        <w:ind w:firstLine="420" w:firstLineChars="200"/>
        <w:rPr>
          <w:rFonts w:ascii="宋体" w:hAnsi="宋体" w:cs="宋体"/>
          <w:szCs w:val="21"/>
        </w:rPr>
      </w:pPr>
      <w:r>
        <w:rPr>
          <w:rFonts w:hint="eastAsia" w:ascii="宋体" w:hAnsi="宋体" w:cs="宋体"/>
          <w:szCs w:val="21"/>
        </w:rPr>
        <w:t>乙方承担所有因系统开发而产生的运输、装卸和保险等费用。</w:t>
      </w:r>
    </w:p>
    <w:p w14:paraId="092B6C3B">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七、供货周期</w:t>
      </w:r>
    </w:p>
    <w:p w14:paraId="0CFF80E6">
      <w:pPr>
        <w:spacing w:line="360" w:lineRule="auto"/>
        <w:ind w:firstLine="420" w:firstLineChars="200"/>
        <w:rPr>
          <w:rFonts w:ascii="宋体" w:hAnsi="宋体" w:cs="宋体"/>
          <w:color w:val="000000"/>
          <w:szCs w:val="21"/>
        </w:rPr>
      </w:pPr>
      <w:r>
        <w:rPr>
          <w:rFonts w:hint="eastAsia" w:ascii="宋体" w:hAnsi="宋体" w:cs="宋体"/>
          <w:color w:val="000000"/>
          <w:szCs w:val="21"/>
        </w:rPr>
        <w:t>乙方在合同生效后天内（不超过30个自然日）内完成O域对应系统的开发、改造、测试及调试工作。乙方每逾期一天交付（不足一天按一天计算），按合同总价的5‰收取滞纳金，滞纳金从合同款中扣除。如逾期时间超过4周仍未能交付全部设备（软件），在不妨碍甲方其他救济手段的情况下，甲方可以向乙方发出书面违约通知从而全部或部分地终止合同，并向乙方索赔。</w:t>
      </w:r>
    </w:p>
    <w:p w14:paraId="7D81BFED">
      <w:pPr>
        <w:spacing w:line="360" w:lineRule="auto"/>
        <w:ind w:firstLine="420" w:firstLineChars="200"/>
        <w:rPr>
          <w:rFonts w:ascii="宋体" w:hAnsi="宋体" w:cs="宋体"/>
          <w:szCs w:val="21"/>
        </w:rPr>
      </w:pPr>
      <w:r>
        <w:rPr>
          <w:rFonts w:hint="eastAsia" w:ascii="宋体" w:hAnsi="宋体" w:cs="宋体"/>
          <w:color w:val="000000"/>
          <w:szCs w:val="21"/>
        </w:rPr>
        <w:t>乙方逾期交货，甲方接受的，不影响甲方追究乙方逾期交货的违约责任。</w:t>
      </w:r>
    </w:p>
    <w:p w14:paraId="34E3DFDD">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八、验收标准</w:t>
      </w:r>
    </w:p>
    <w:p w14:paraId="26CAE05D">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需免费提供验收所需的资源、接口测试工具、并搭建测试环境，按甲方招标文件、乙方投标文件、询标时乙方做出的书面承诺以及甲、乙双方共同签订的补充协议的要求进行验收。乙方在完成系统改造、接口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性能和业务功能满足招标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5614F58E">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如第一次验收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14:paraId="6357A91B">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因甲方原因未能及时组织初验或终验，甲方应在乙方的协助下尽快解决问题。</w:t>
      </w:r>
    </w:p>
    <w:p w14:paraId="7F18A37A">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甲、乙双方应按合同规定的时间进行初验和终验，验收时间因各种原因需要更改的，甲、乙双方应共同商定修改验收日期。</w:t>
      </w:r>
    </w:p>
    <w:p w14:paraId="066B5135">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在验收过程中，若一方对验收过程或结果提出质疑，且经协商不成的，可由甲方选择法定检验机构进行检验，检验费用由乙方承担。</w:t>
      </w:r>
    </w:p>
    <w:p w14:paraId="42BE0466">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甲、乙双方约定合同产品检验期自交货日起至初验通过之日止。甲、乙双方约定合同产品免费</w:t>
      </w:r>
      <w:r>
        <w:rPr>
          <w:rFonts w:hint="eastAsia" w:ascii="宋体" w:hAnsi="宋体" w:cs="宋体"/>
          <w:color w:val="000000" w:themeColor="text1"/>
          <w:szCs w:val="21"/>
        </w:rPr>
        <w:t>包修期为年</w:t>
      </w:r>
      <w:r>
        <w:rPr>
          <w:rFonts w:hint="eastAsia" w:ascii="宋体" w:hAnsi="宋体" w:cs="宋体"/>
          <w:color w:val="000000"/>
          <w:szCs w:val="21"/>
        </w:rPr>
        <w:t>（不少于3年）</w:t>
      </w:r>
      <w:r>
        <w:rPr>
          <w:rFonts w:hint="eastAsia" w:ascii="宋体" w:hAnsi="宋体" w:cs="宋体"/>
          <w:szCs w:val="21"/>
        </w:rPr>
        <w:t>，自初验通过之日起计算。</w:t>
      </w:r>
    </w:p>
    <w:p w14:paraId="180C4B8F">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九、售后服务</w:t>
      </w:r>
    </w:p>
    <w:p w14:paraId="6A1A4B90">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服务响应时间：乙方提供每周7天×24小时的技术支持和服务。如果出现技术问题或故障，乙方应按投标文件和询标时做出的书面承诺提供相应的服务和技术支持。</w:t>
      </w:r>
    </w:p>
    <w:p w14:paraId="67A77DE3">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包修期：免费包修期  年（不少于3年），自初验通过之日起计算。超过免费包修期后，乙方对其提供的改造功能在系统寿命期内提供有偿保修服务，维保服务的内容与包修期相同。整个系统的维保年服务费用（全包）不超过成交总价（合同价）</w:t>
      </w:r>
      <w:r>
        <w:rPr>
          <w:rFonts w:hint="eastAsia" w:ascii="宋体" w:hAnsi="宋体" w:cs="宋体"/>
          <w:color w:val="000000" w:themeColor="text1"/>
          <w:szCs w:val="21"/>
        </w:rPr>
        <w:t>的  %。</w:t>
      </w:r>
    </w:p>
    <w:p w14:paraId="4C7C3B05">
      <w:pPr>
        <w:widowControl/>
        <w:numPr>
          <w:ilvl w:val="0"/>
          <w:numId w:val="7"/>
        </w:numPr>
        <w:tabs>
          <w:tab w:val="left" w:pos="0"/>
          <w:tab w:val="clear" w:pos="1155"/>
        </w:tabs>
        <w:spacing w:line="360" w:lineRule="auto"/>
        <w:ind w:left="0" w:firstLine="0"/>
        <w:jc w:val="left"/>
        <w:rPr>
          <w:rFonts w:ascii="宋体" w:hAnsi="宋体" w:cs="宋体"/>
          <w:szCs w:val="21"/>
        </w:rPr>
      </w:pPr>
      <w:bookmarkStart w:id="24" w:name="_Hlk74747813"/>
      <w:r>
        <w:rPr>
          <w:rFonts w:hint="eastAsia" w:ascii="宋体" w:hAnsi="宋体" w:cs="宋体"/>
          <w:szCs w:val="21"/>
        </w:rPr>
        <w:t>技术交流：乙方及原厂商应当针对本项目系统（软硬件）与甲方进行现场技术交流，以提高甲方操作和维护水平。</w:t>
      </w:r>
    </w:p>
    <w:bookmarkEnd w:id="24"/>
    <w:p w14:paraId="363C2180">
      <w:pPr>
        <w:widowControl/>
        <w:numPr>
          <w:ilvl w:val="0"/>
          <w:numId w:val="7"/>
        </w:numPr>
        <w:tabs>
          <w:tab w:val="left" w:pos="0"/>
          <w:tab w:val="clear" w:pos="1155"/>
        </w:tabs>
        <w:spacing w:line="360" w:lineRule="auto"/>
        <w:ind w:left="0" w:firstLine="0"/>
        <w:jc w:val="left"/>
        <w:rPr>
          <w:rFonts w:ascii="宋体" w:hAnsi="宋体" w:cs="宋体"/>
          <w:szCs w:val="21"/>
        </w:rPr>
      </w:pPr>
      <w:bookmarkStart w:id="25" w:name="_Hlk74747839"/>
      <w:r>
        <w:rPr>
          <w:rFonts w:hint="eastAsia" w:ascii="宋体" w:hAnsi="宋体" w:cs="宋体"/>
          <w:szCs w:val="21"/>
        </w:rPr>
        <w:t>自主服务：乙方所提供的自主开发技术服务均已包含3年期每周7天×24小时服务。如乙方停止销售本合同涉及的开发服务，不免除乙方对此应承担的责任。</w:t>
      </w:r>
    </w:p>
    <w:bookmarkEnd w:id="25"/>
    <w:p w14:paraId="6264B201">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在甲方使用主流品牌的硬件、软件产品出现兼容性问题时，原厂商须积极配合，与有关硬件、软件厂商和甲方接洽，及时定位问题原因、寻求解决方案。</w:t>
      </w:r>
    </w:p>
    <w:p w14:paraId="427C7F20">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在包修期内及包修期后，甲方在使用乙方设备中不论何种原因造成的故障，乙方在接到甲方要求修复的通知后：</w:t>
      </w:r>
    </w:p>
    <w:p w14:paraId="049F8F1F">
      <w:pPr>
        <w:tabs>
          <w:tab w:val="left" w:pos="0"/>
          <w:tab w:val="left" w:pos="53"/>
        </w:tabs>
        <w:spacing w:line="360" w:lineRule="auto"/>
        <w:rPr>
          <w:rFonts w:ascii="宋体" w:hAnsi="宋体" w:cs="宋体"/>
          <w:szCs w:val="21"/>
        </w:rPr>
      </w:pPr>
      <w:r>
        <w:rPr>
          <w:rFonts w:hint="eastAsia" w:ascii="宋体" w:hAnsi="宋体" w:cs="宋体"/>
          <w:szCs w:val="21"/>
        </w:rPr>
        <w:t>（1）电话支持：乙方为甲方提供7*24（每周7天，每天24小时，下同）电话支持服务。</w:t>
      </w:r>
    </w:p>
    <w:p w14:paraId="1A279587">
      <w:pPr>
        <w:spacing w:line="360" w:lineRule="auto"/>
        <w:rPr>
          <w:rFonts w:ascii="宋体" w:hAnsi="宋体" w:cs="宋体"/>
          <w:szCs w:val="21"/>
        </w:rPr>
      </w:pPr>
      <w:r>
        <w:rPr>
          <w:rFonts w:hint="eastAsia" w:ascii="宋体" w:hAnsi="宋体" w:cs="宋体"/>
          <w:szCs w:val="21"/>
        </w:rPr>
        <w:t xml:space="preserve">乙方24小时故障报修电话：                </w:t>
      </w:r>
    </w:p>
    <w:p w14:paraId="30329377">
      <w:pPr>
        <w:pStyle w:val="22"/>
        <w:tabs>
          <w:tab w:val="left" w:pos="417"/>
        </w:tabs>
        <w:spacing w:after="0" w:line="360" w:lineRule="auto"/>
        <w:ind w:left="10" w:hanging="10" w:hangingChars="5"/>
        <w:rPr>
          <w:rFonts w:ascii="宋体" w:hAnsi="宋体" w:eastAsia="宋体" w:cs="宋体"/>
          <w:kern w:val="2"/>
          <w:sz w:val="21"/>
          <w:szCs w:val="21"/>
        </w:rPr>
      </w:pPr>
      <w:r>
        <w:rPr>
          <w:rFonts w:hint="eastAsia" w:ascii="宋体" w:hAnsi="宋体" w:eastAsia="宋体" w:cs="宋体"/>
          <w:kern w:val="2"/>
          <w:sz w:val="21"/>
          <w:szCs w:val="21"/>
        </w:rPr>
        <w:t xml:space="preserve">技术支持电话：             </w:t>
      </w:r>
    </w:p>
    <w:p w14:paraId="27AC5403">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22D24C15">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本售后服务要求必须视为保证系统运行所需的基本要求，如有遗漏，乙方应予以补充，否则将认为乙方认同遗漏部分并免费提供。</w:t>
      </w:r>
    </w:p>
    <w:p w14:paraId="4007401A">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十、技术支持</w:t>
      </w:r>
    </w:p>
    <w:p w14:paraId="76BB2DC2">
      <w:pPr>
        <w:spacing w:line="300" w:lineRule="auto"/>
        <w:rPr>
          <w:rFonts w:ascii="宋体" w:hAnsi="宋体" w:cs="宋体"/>
          <w:szCs w:val="21"/>
        </w:rPr>
      </w:pPr>
      <w:r>
        <w:rPr>
          <w:rFonts w:hint="eastAsia" w:ascii="宋体" w:hAnsi="宋体" w:cs="宋体"/>
          <w:szCs w:val="21"/>
        </w:rPr>
        <w:t>1. 乙方需提供全套技术文件。文档内容须覆盖乙方所提供软件功能使用及管理应用。如乙方提供的项目/软件文档错误或不达要求，须无条件根据甲方提出细化要求予以补充或修订。文档资料包含但不限于以下内容：</w:t>
      </w:r>
      <w:bookmarkStart w:id="26" w:name="_Hlk76397900"/>
    </w:p>
    <w:p w14:paraId="5EEA191F">
      <w:pPr>
        <w:spacing w:line="300" w:lineRule="auto"/>
        <w:rPr>
          <w:color w:val="000000"/>
          <w:kern w:val="0"/>
          <w:sz w:val="20"/>
        </w:rPr>
      </w:pPr>
      <w:r>
        <w:rPr>
          <w:color w:val="000000"/>
          <w:kern w:val="0"/>
          <w:szCs w:val="28"/>
        </w:rPr>
        <w:t>（1）</w:t>
      </w:r>
      <w:r>
        <w:rPr>
          <w:rFonts w:hint="eastAsia"/>
          <w:color w:val="000000"/>
          <w:kern w:val="0"/>
          <w:szCs w:val="28"/>
        </w:rPr>
        <w:t>接口</w:t>
      </w:r>
      <w:r>
        <w:rPr>
          <w:color w:val="000000"/>
          <w:kern w:val="0"/>
          <w:szCs w:val="28"/>
        </w:rPr>
        <w:t>需求分析文档；</w:t>
      </w:r>
    </w:p>
    <w:p w14:paraId="37B15FB8">
      <w:pPr>
        <w:spacing w:line="300" w:lineRule="auto"/>
        <w:rPr>
          <w:color w:val="000000"/>
          <w:kern w:val="0"/>
          <w:sz w:val="20"/>
        </w:rPr>
      </w:pPr>
      <w:r>
        <w:rPr>
          <w:color w:val="000000"/>
          <w:kern w:val="0"/>
          <w:szCs w:val="28"/>
        </w:rPr>
        <w:t>（2）</w:t>
      </w:r>
      <w:r>
        <w:rPr>
          <w:rFonts w:hint="eastAsia"/>
          <w:color w:val="000000"/>
          <w:szCs w:val="28"/>
        </w:rPr>
        <w:t>扩容资源部署说明</w:t>
      </w:r>
      <w:r>
        <w:rPr>
          <w:color w:val="000000"/>
          <w:kern w:val="0"/>
          <w:szCs w:val="28"/>
        </w:rPr>
        <w:t>；</w:t>
      </w:r>
    </w:p>
    <w:p w14:paraId="0F9E72D7">
      <w:pPr>
        <w:spacing w:line="300" w:lineRule="auto"/>
        <w:rPr>
          <w:color w:val="000000"/>
          <w:kern w:val="0"/>
          <w:sz w:val="20"/>
        </w:rPr>
      </w:pPr>
      <w:r>
        <w:rPr>
          <w:color w:val="000000"/>
          <w:kern w:val="0"/>
          <w:szCs w:val="28"/>
        </w:rPr>
        <w:t>（3）</w:t>
      </w:r>
      <w:r>
        <w:rPr>
          <w:color w:val="000000"/>
          <w:szCs w:val="28"/>
        </w:rPr>
        <w:t>数据结构和数据字典说明</w:t>
      </w:r>
      <w:r>
        <w:rPr>
          <w:color w:val="000000"/>
          <w:kern w:val="0"/>
          <w:szCs w:val="28"/>
        </w:rPr>
        <w:t>；</w:t>
      </w:r>
    </w:p>
    <w:p w14:paraId="0EA2A082">
      <w:pPr>
        <w:spacing w:line="300" w:lineRule="auto"/>
        <w:rPr>
          <w:color w:val="000000"/>
          <w:kern w:val="0"/>
          <w:sz w:val="20"/>
        </w:rPr>
      </w:pPr>
      <w:r>
        <w:rPr>
          <w:color w:val="000000"/>
          <w:kern w:val="0"/>
          <w:szCs w:val="28"/>
        </w:rPr>
        <w:t>（4）</w:t>
      </w:r>
      <w:r>
        <w:rPr>
          <w:color w:val="000000"/>
          <w:szCs w:val="28"/>
        </w:rPr>
        <w:t>用户操作手册，包含</w:t>
      </w:r>
      <w:r>
        <w:rPr>
          <w:rFonts w:hint="eastAsia"/>
          <w:color w:val="000000"/>
          <w:szCs w:val="28"/>
        </w:rPr>
        <w:t>接口相关、资源管理</w:t>
      </w:r>
      <w:r>
        <w:rPr>
          <w:color w:val="000000"/>
          <w:szCs w:val="28"/>
        </w:rPr>
        <w:t>功能、页面、关键页面信息项的操作指引及信息说明等</w:t>
      </w:r>
      <w:r>
        <w:rPr>
          <w:color w:val="000000"/>
          <w:kern w:val="0"/>
          <w:szCs w:val="28"/>
        </w:rPr>
        <w:t>；</w:t>
      </w:r>
    </w:p>
    <w:p w14:paraId="39CAE505">
      <w:pPr>
        <w:spacing w:line="300" w:lineRule="auto"/>
        <w:rPr>
          <w:color w:val="000000"/>
          <w:kern w:val="0"/>
          <w:sz w:val="20"/>
        </w:rPr>
      </w:pPr>
      <w:r>
        <w:rPr>
          <w:color w:val="000000"/>
          <w:kern w:val="0"/>
          <w:szCs w:val="28"/>
        </w:rPr>
        <w:t>（5）</w:t>
      </w:r>
      <w:r>
        <w:rPr>
          <w:rFonts w:hint="eastAsia"/>
          <w:color w:val="000000"/>
          <w:szCs w:val="28"/>
        </w:rPr>
        <w:t>资源</w:t>
      </w:r>
      <w:r>
        <w:rPr>
          <w:color w:val="000000"/>
          <w:szCs w:val="28"/>
        </w:rPr>
        <w:t>运行维护手册，包含</w:t>
      </w:r>
      <w:r>
        <w:rPr>
          <w:rFonts w:hint="eastAsia"/>
          <w:color w:val="000000"/>
          <w:szCs w:val="28"/>
        </w:rPr>
        <w:t>扩容部分资源</w:t>
      </w:r>
      <w:r>
        <w:rPr>
          <w:color w:val="000000"/>
          <w:szCs w:val="28"/>
        </w:rPr>
        <w:t>安装、升级、迁移、维护等方面内容的说明</w:t>
      </w:r>
      <w:r>
        <w:rPr>
          <w:color w:val="000000"/>
          <w:kern w:val="0"/>
          <w:szCs w:val="28"/>
        </w:rPr>
        <w:t>；</w:t>
      </w:r>
    </w:p>
    <w:p w14:paraId="3A1AAA3D">
      <w:pPr>
        <w:widowControl/>
        <w:tabs>
          <w:tab w:val="left" w:pos="0"/>
        </w:tabs>
        <w:spacing w:line="360" w:lineRule="auto"/>
        <w:jc w:val="left"/>
        <w:rPr>
          <w:rFonts w:ascii="宋体" w:hAnsi="宋体" w:cs="宋体"/>
          <w:szCs w:val="21"/>
        </w:rPr>
      </w:pPr>
      <w:r>
        <w:rPr>
          <w:color w:val="000000"/>
          <w:kern w:val="0"/>
          <w:szCs w:val="28"/>
        </w:rPr>
        <w:t>（6）</w:t>
      </w:r>
      <w:r>
        <w:rPr>
          <w:color w:val="000000"/>
          <w:szCs w:val="28"/>
        </w:rPr>
        <w:t>系统接口手册，包含系统提供或客制开发的接口类库、说明、示例代码等</w:t>
      </w:r>
      <w:bookmarkEnd w:id="26"/>
      <w:r>
        <w:rPr>
          <w:rFonts w:hint="eastAsia" w:ascii="宋体" w:hAnsi="宋体" w:cs="宋体"/>
          <w:szCs w:val="21"/>
        </w:rPr>
        <w:t>。</w:t>
      </w:r>
    </w:p>
    <w:p w14:paraId="02308692">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十一、技术升级和优惠条件</w:t>
      </w:r>
    </w:p>
    <w:p w14:paraId="7A2A2ED1">
      <w:pPr>
        <w:widowControl/>
        <w:tabs>
          <w:tab w:val="left" w:pos="0"/>
        </w:tabs>
        <w:spacing w:line="360" w:lineRule="auto"/>
        <w:jc w:val="left"/>
        <w:rPr>
          <w:rFonts w:ascii="宋体" w:hAnsi="宋体" w:cs="宋体"/>
          <w:szCs w:val="21"/>
        </w:rPr>
      </w:pPr>
      <w:r>
        <w:rPr>
          <w:rFonts w:hint="eastAsia" w:ascii="宋体" w:hAnsi="宋体" w:cs="宋体"/>
          <w:szCs w:val="21"/>
        </w:rPr>
        <w:t>1. 乙方对所供硬件及第三方软件在设备寿命期内提供免费的软件升级服务（包括设备模板），并在升级后为甲方提供免费的培训。</w:t>
      </w:r>
    </w:p>
    <w:p w14:paraId="075ABFAF">
      <w:pPr>
        <w:widowControl/>
        <w:tabs>
          <w:tab w:val="left" w:pos="0"/>
        </w:tabs>
        <w:spacing w:line="360" w:lineRule="auto"/>
        <w:jc w:val="left"/>
        <w:rPr>
          <w:rFonts w:ascii="宋体" w:hAnsi="宋体" w:cs="宋体"/>
          <w:szCs w:val="21"/>
        </w:rPr>
      </w:pPr>
      <w:r>
        <w:rPr>
          <w:rFonts w:hint="eastAsia" w:ascii="宋体" w:hAnsi="宋体" w:cs="宋体"/>
          <w:szCs w:val="21"/>
        </w:rPr>
        <w:t>2. 乙方承诺升级后的软件没有版权及权属争议等其它问题，并且保证到下次升级时可正常使用。</w:t>
      </w:r>
    </w:p>
    <w:p w14:paraId="2498E4AE">
      <w:pPr>
        <w:tabs>
          <w:tab w:val="left" w:pos="0"/>
        </w:tabs>
        <w:spacing w:line="360" w:lineRule="auto"/>
        <w:rPr>
          <w:rFonts w:ascii="宋体" w:hAnsi="宋体" w:cs="宋体"/>
          <w:szCs w:val="21"/>
        </w:rPr>
      </w:pPr>
      <w:r>
        <w:rPr>
          <w:rFonts w:hint="eastAsia" w:ascii="宋体" w:hAnsi="宋体" w:cs="宋体"/>
          <w:szCs w:val="21"/>
        </w:rPr>
        <w:t>3. 本次合同范围，即“</w:t>
      </w:r>
      <w:r>
        <w:rPr>
          <w:rFonts w:hint="eastAsia" w:ascii="宋体" w:hAnsi="宋体" w:cs="宋体"/>
          <w:b/>
          <w:bCs/>
          <w:szCs w:val="21"/>
          <w:u w:val="single"/>
        </w:rPr>
        <w:t>O域系统适老化改造</w:t>
      </w:r>
      <w:r>
        <w:rPr>
          <w:rFonts w:hint="eastAsia" w:ascii="宋体" w:hAnsi="宋体" w:cs="宋体"/>
          <w:szCs w:val="21"/>
        </w:rPr>
        <w:t>”项目范围，对于系统今后新增设备和软件的所有集成，乙方全部免收集成费。</w:t>
      </w:r>
    </w:p>
    <w:p w14:paraId="70270454">
      <w:pPr>
        <w:tabs>
          <w:tab w:val="left" w:pos="0"/>
        </w:tabs>
        <w:spacing w:line="360" w:lineRule="auto"/>
        <w:rPr>
          <w:szCs w:val="21"/>
        </w:rPr>
      </w:pPr>
      <w:r>
        <w:rPr>
          <w:rFonts w:hint="eastAsia" w:ascii="宋体" w:hAnsi="宋体" w:cs="宋体"/>
          <w:szCs w:val="21"/>
        </w:rPr>
        <w:t>4. 甲方在本系统扩容时，乙方提供的同类设备、配件、软件及相关服务等报价应不高于本“</w:t>
      </w:r>
      <w:r>
        <w:rPr>
          <w:rFonts w:hint="eastAsia" w:ascii="宋体" w:hAnsi="宋体" w:cs="宋体"/>
          <w:b/>
          <w:bCs/>
          <w:szCs w:val="21"/>
          <w:u w:val="single"/>
        </w:rPr>
        <w:t>O域系统适老化改造</w:t>
      </w:r>
      <w:r>
        <w:rPr>
          <w:rFonts w:hint="eastAsia" w:ascii="宋体" w:hAnsi="宋体" w:cs="宋体"/>
          <w:szCs w:val="21"/>
        </w:rPr>
        <w:t>”项目的中标价格、折扣，且不高于当时市场价格，</w:t>
      </w:r>
      <w:r>
        <w:rPr>
          <w:rFonts w:hint="eastAsia"/>
          <w:szCs w:val="21"/>
        </w:rPr>
        <w:t>甲方保留二次询价的权利</w:t>
      </w:r>
      <w:r>
        <w:rPr>
          <w:szCs w:val="21"/>
        </w:rPr>
        <w:t>。</w:t>
      </w:r>
    </w:p>
    <w:p w14:paraId="1C073A98">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27" w:name="_Toc47617116"/>
      <w:r>
        <w:rPr>
          <w:rFonts w:hint="eastAsia" w:ascii="宋体" w:hAnsi="宋体" w:eastAsia="宋体" w:cs="宋体"/>
          <w:b/>
          <w:kern w:val="2"/>
          <w:sz w:val="21"/>
          <w:szCs w:val="21"/>
        </w:rPr>
        <w:t>十二、技术和资料的保密事项</w:t>
      </w:r>
      <w:bookmarkEnd w:id="27"/>
    </w:p>
    <w:p w14:paraId="3A37E0A5">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甲、乙双方同意，在任何时候，不论是合同有效期内还是合同终止以后，对任何一方提供的秘密信息或双方共有的秘密信息均实行严格保密。</w:t>
      </w:r>
    </w:p>
    <w:p w14:paraId="5CC85EDC">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甲方在未得到乙方许可前提下，不得向任何第三方透露乙方提供的软件及所附全部文档和资料的商业秘密和技术秘密。</w:t>
      </w:r>
    </w:p>
    <w:p w14:paraId="15026155">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25439CE5">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28" w:name="_Toc72326304"/>
      <w:r>
        <w:rPr>
          <w:rFonts w:hint="eastAsia" w:ascii="宋体" w:hAnsi="宋体" w:eastAsia="宋体" w:cs="宋体"/>
          <w:b/>
          <w:kern w:val="2"/>
          <w:sz w:val="21"/>
          <w:szCs w:val="21"/>
        </w:rPr>
        <w:t>十三、</w:t>
      </w:r>
      <w:bookmarkEnd w:id="28"/>
      <w:bookmarkStart w:id="29" w:name="_Toc72326305"/>
      <w:r>
        <w:rPr>
          <w:rFonts w:hint="eastAsia" w:ascii="宋体" w:hAnsi="宋体" w:eastAsia="宋体" w:cs="宋体"/>
          <w:b/>
          <w:kern w:val="2"/>
          <w:sz w:val="21"/>
          <w:szCs w:val="21"/>
        </w:rPr>
        <w:t>双方责任</w:t>
      </w:r>
      <w:bookmarkEnd w:id="29"/>
    </w:p>
    <w:p w14:paraId="0EDD4771">
      <w:pPr>
        <w:numPr>
          <w:ilvl w:val="255"/>
          <w:numId w:val="0"/>
        </w:numPr>
        <w:adjustRightInd w:val="0"/>
        <w:snapToGrid w:val="0"/>
        <w:spacing w:line="360" w:lineRule="auto"/>
        <w:rPr>
          <w:rFonts w:ascii="宋体" w:hAnsi="宋体" w:cs="宋体"/>
          <w:szCs w:val="21"/>
        </w:rPr>
      </w:pPr>
      <w:r>
        <w:rPr>
          <w:rFonts w:hint="eastAsia" w:ascii="宋体" w:hAnsi="宋体" w:cs="宋体"/>
          <w:szCs w:val="21"/>
        </w:rPr>
        <w:t>甲方责任</w:t>
      </w:r>
    </w:p>
    <w:p w14:paraId="2954C461">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甲方需为乙方提供项目实施便利，积极配合乙方进行项目实施安装及调试。</w:t>
      </w:r>
    </w:p>
    <w:p w14:paraId="0565814B">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甲方需为乙方协调各方关系提供便利。</w:t>
      </w:r>
    </w:p>
    <w:p w14:paraId="3163D7CE">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甲方应指派管理人员、技术人员参加项目系统安装、系统测试和其它工作。</w:t>
      </w:r>
    </w:p>
    <w:p w14:paraId="7E9D81A5">
      <w:pPr>
        <w:numPr>
          <w:ilvl w:val="0"/>
          <w:numId w:val="9"/>
        </w:numPr>
        <w:adjustRightInd w:val="0"/>
        <w:snapToGrid w:val="0"/>
        <w:spacing w:line="360" w:lineRule="auto"/>
        <w:rPr>
          <w:rFonts w:ascii="宋体" w:hAnsi="宋体" w:cs="宋体"/>
          <w:szCs w:val="21"/>
        </w:rPr>
      </w:pPr>
      <w:r>
        <w:rPr>
          <w:rFonts w:hint="eastAsia" w:ascii="宋体" w:hAnsi="宋体" w:cs="宋体"/>
          <w:szCs w:val="21"/>
        </w:rPr>
        <w:t>因乙方未按合同质量或要求交付产品，甲方有权拒收，甲方的该项权利不因产品在启运前通过甲方的验收而受到任何限制或影响。</w:t>
      </w:r>
    </w:p>
    <w:p w14:paraId="482DC58A">
      <w:pPr>
        <w:numPr>
          <w:ilvl w:val="255"/>
          <w:numId w:val="0"/>
        </w:numPr>
        <w:adjustRightInd w:val="0"/>
        <w:snapToGrid w:val="0"/>
        <w:spacing w:line="360" w:lineRule="auto"/>
        <w:rPr>
          <w:rFonts w:ascii="宋体" w:hAnsi="宋体" w:cs="宋体"/>
          <w:szCs w:val="21"/>
        </w:rPr>
      </w:pPr>
      <w:r>
        <w:rPr>
          <w:rFonts w:hint="eastAsia" w:ascii="宋体" w:hAnsi="宋体" w:cs="宋体"/>
          <w:szCs w:val="21"/>
        </w:rPr>
        <w:t>乙方责任</w:t>
      </w:r>
    </w:p>
    <w:p w14:paraId="3444A179">
      <w:pPr>
        <w:numPr>
          <w:ilvl w:val="0"/>
          <w:numId w:val="10"/>
        </w:numPr>
        <w:spacing w:line="360" w:lineRule="auto"/>
        <w:ind w:left="0" w:firstLine="0"/>
        <w:rPr>
          <w:rFonts w:ascii="宋体" w:hAnsi="宋体" w:cs="宋体"/>
          <w:szCs w:val="21"/>
        </w:rPr>
      </w:pPr>
      <w:r>
        <w:rPr>
          <w:rFonts w:hint="eastAsia" w:ascii="宋体" w:hAnsi="宋体" w:cs="宋体"/>
          <w:szCs w:val="21"/>
        </w:rPr>
        <w:t>乙方承诺：除投标文件及后续书面承诺标明的偏离外，乙方提供的产品和服务均满足招标文件要求。</w:t>
      </w:r>
    </w:p>
    <w:p w14:paraId="3CF42D81">
      <w:pPr>
        <w:numPr>
          <w:ilvl w:val="0"/>
          <w:numId w:val="10"/>
        </w:numPr>
        <w:spacing w:line="360" w:lineRule="auto"/>
        <w:ind w:left="0" w:firstLine="0"/>
        <w:rPr>
          <w:rFonts w:ascii="宋体" w:hAnsi="宋体" w:cs="宋体"/>
          <w:szCs w:val="21"/>
        </w:rPr>
      </w:pPr>
      <w:r>
        <w:rPr>
          <w:rFonts w:hint="eastAsia" w:ascii="宋体" w:hAnsi="宋体" w:cs="宋体"/>
          <w:szCs w:val="21"/>
        </w:rPr>
        <w:t>乙方应按照招标文件、投标文件、乙方后续书面承诺的技术要求以及甲、乙双方协定补充文件，提供合格的产品，并保证通过甲方的验收。</w:t>
      </w:r>
    </w:p>
    <w:p w14:paraId="3C4059D1">
      <w:pPr>
        <w:numPr>
          <w:ilvl w:val="0"/>
          <w:numId w:val="10"/>
        </w:numPr>
        <w:spacing w:line="360" w:lineRule="auto"/>
        <w:ind w:left="0" w:firstLine="0"/>
        <w:rPr>
          <w:rFonts w:ascii="宋体" w:hAnsi="宋体" w:cs="宋体"/>
          <w:szCs w:val="21"/>
        </w:rPr>
      </w:pPr>
      <w:r>
        <w:rPr>
          <w:rFonts w:hint="eastAsia" w:ascii="宋体" w:hAnsi="宋体" w:cs="宋体"/>
          <w:szCs w:val="21"/>
        </w:rPr>
        <w:t>在系统安装、调试、开发过程中，乙方须保证不影响甲方现有系统的正常运行和现有业务的正常发展。</w:t>
      </w:r>
    </w:p>
    <w:p w14:paraId="3E4F2F0A">
      <w:pPr>
        <w:numPr>
          <w:ilvl w:val="0"/>
          <w:numId w:val="10"/>
        </w:numPr>
        <w:spacing w:line="360" w:lineRule="auto"/>
        <w:ind w:left="0" w:firstLine="0"/>
        <w:rPr>
          <w:rFonts w:ascii="宋体" w:hAnsi="宋体" w:cs="宋体"/>
          <w:szCs w:val="21"/>
        </w:rPr>
      </w:pPr>
      <w:r>
        <w:rPr>
          <w:rFonts w:hint="eastAsia" w:ascii="宋体" w:hAnsi="宋体" w:cs="宋体"/>
          <w:szCs w:val="21"/>
        </w:rPr>
        <w:t>乙方保证在系统安装、调试、开发过程中不非法使用第三方软件。</w:t>
      </w:r>
    </w:p>
    <w:p w14:paraId="53CF8EBF">
      <w:pPr>
        <w:numPr>
          <w:ilvl w:val="0"/>
          <w:numId w:val="10"/>
        </w:numPr>
        <w:spacing w:line="360" w:lineRule="auto"/>
        <w:ind w:left="0" w:firstLine="0"/>
        <w:rPr>
          <w:rFonts w:ascii="宋体" w:hAnsi="宋体" w:cs="宋体"/>
          <w:szCs w:val="21"/>
        </w:rPr>
      </w:pPr>
      <w:r>
        <w:rPr>
          <w:rFonts w:hint="eastAsia" w:ascii="宋体" w:hAnsi="宋体" w:cs="宋体"/>
          <w:szCs w:val="21"/>
        </w:rPr>
        <w:t>乙方在产品安装、调试、开发过程中须派驻足够的有经验的工程技术人员到施工现场进行安装指导，在甲方的组织安排下负责完成系统调试、现场性能试验和验收，服从甲方的现场安排。</w:t>
      </w:r>
    </w:p>
    <w:p w14:paraId="320028A3">
      <w:pPr>
        <w:numPr>
          <w:ilvl w:val="0"/>
          <w:numId w:val="10"/>
        </w:numPr>
        <w:spacing w:line="360" w:lineRule="auto"/>
        <w:ind w:left="0" w:firstLine="0"/>
        <w:rPr>
          <w:rFonts w:ascii="宋体" w:hAnsi="宋体" w:cs="宋体"/>
          <w:szCs w:val="21"/>
        </w:rPr>
      </w:pPr>
      <w:r>
        <w:rPr>
          <w:rFonts w:hint="eastAsia" w:ascii="宋体" w:hAnsi="宋体" w:cs="宋体"/>
          <w:szCs w:val="21"/>
        </w:rPr>
        <w:t>乙方按照要求提供产品合格证书、产品检测记录、调试记录等技术资料。</w:t>
      </w:r>
    </w:p>
    <w:p w14:paraId="0B598071">
      <w:pPr>
        <w:numPr>
          <w:ilvl w:val="0"/>
          <w:numId w:val="10"/>
        </w:numPr>
        <w:spacing w:line="360" w:lineRule="auto"/>
        <w:ind w:left="0" w:firstLine="0"/>
        <w:rPr>
          <w:rFonts w:ascii="宋体" w:hAnsi="宋体" w:cs="宋体"/>
          <w:szCs w:val="21"/>
        </w:rPr>
      </w:pPr>
      <w:r>
        <w:rPr>
          <w:rFonts w:hint="eastAsia" w:ascii="宋体" w:hAnsi="宋体" w:cs="宋体"/>
          <w:szCs w:val="21"/>
        </w:rPr>
        <w:t>乙方负责与硬件设备相配套的软件厂家、其它设备的制造商、第三方软件厂家和售后服务部门等联系沟通，完成安装、调试，配置相关的产品。</w:t>
      </w:r>
    </w:p>
    <w:p w14:paraId="62DACF0F">
      <w:pPr>
        <w:numPr>
          <w:ilvl w:val="0"/>
          <w:numId w:val="10"/>
        </w:numPr>
        <w:spacing w:line="360" w:lineRule="auto"/>
        <w:ind w:left="0" w:firstLine="0"/>
        <w:rPr>
          <w:rFonts w:ascii="宋体" w:hAnsi="宋体" w:cs="宋体"/>
          <w:szCs w:val="21"/>
        </w:rPr>
      </w:pPr>
      <w:r>
        <w:rPr>
          <w:rFonts w:hint="eastAsia" w:ascii="宋体" w:hAnsi="宋体" w:cs="宋体"/>
          <w:szCs w:val="21"/>
        </w:rPr>
        <w:t>乙方负责配合相关厂家，定期检查产品、及时排查硬件故障。</w:t>
      </w:r>
    </w:p>
    <w:p w14:paraId="31B501A1">
      <w:pPr>
        <w:numPr>
          <w:ilvl w:val="0"/>
          <w:numId w:val="10"/>
        </w:numPr>
        <w:spacing w:line="360" w:lineRule="auto"/>
        <w:ind w:left="0" w:firstLine="0"/>
        <w:rPr>
          <w:rFonts w:ascii="宋体" w:hAnsi="宋体" w:cs="宋体"/>
          <w:szCs w:val="21"/>
        </w:rPr>
      </w:pPr>
      <w:r>
        <w:rPr>
          <w:rFonts w:hint="eastAsia" w:ascii="宋体" w:hAnsi="宋体" w:cs="宋体"/>
          <w:szCs w:val="21"/>
        </w:rPr>
        <w:t>乙方未按合同规定的质量要求交付产品，甲方拒收时，乙方应承担合同的违约责任。</w:t>
      </w:r>
    </w:p>
    <w:p w14:paraId="5D577EF7">
      <w:pPr>
        <w:numPr>
          <w:ilvl w:val="0"/>
          <w:numId w:val="10"/>
        </w:numPr>
        <w:spacing w:line="360" w:lineRule="auto"/>
        <w:ind w:left="0" w:firstLine="0"/>
        <w:rPr>
          <w:rFonts w:ascii="宋体" w:hAnsi="宋体" w:cs="宋体"/>
          <w:szCs w:val="21"/>
        </w:rPr>
      </w:pPr>
      <w:r>
        <w:rPr>
          <w:rFonts w:hint="eastAsia" w:ascii="宋体" w:hAnsi="宋体" w:cs="宋体"/>
          <w:szCs w:val="21"/>
        </w:rPr>
        <w:t>迟延履行，甲方书面确定一个合理的期限，如乙方仍不能履行，按乙方不履行合同处理。</w:t>
      </w:r>
    </w:p>
    <w:p w14:paraId="35EF76F2">
      <w:pPr>
        <w:numPr>
          <w:ilvl w:val="0"/>
          <w:numId w:val="10"/>
        </w:numPr>
        <w:spacing w:line="360" w:lineRule="auto"/>
        <w:ind w:left="0" w:firstLine="0"/>
        <w:rPr>
          <w:rFonts w:ascii="宋体" w:hAnsi="宋体" w:cs="宋体"/>
          <w:szCs w:val="21"/>
        </w:rPr>
      </w:pPr>
      <w:r>
        <w:rPr>
          <w:rFonts w:hint="eastAsia" w:ascii="宋体" w:hAnsi="宋体" w:cs="宋体"/>
          <w:szCs w:val="21"/>
        </w:rPr>
        <w:t>本合同所有产品的制造，都必须由投标文件和询标时做出的书面承诺中明确的制造商承担，否则将按乙方不履行合同处理。</w:t>
      </w:r>
    </w:p>
    <w:p w14:paraId="52403EEF">
      <w:pPr>
        <w:numPr>
          <w:ilvl w:val="0"/>
          <w:numId w:val="10"/>
        </w:numPr>
        <w:spacing w:line="360" w:lineRule="auto"/>
        <w:ind w:left="0" w:firstLine="0"/>
        <w:rPr>
          <w:rFonts w:ascii="宋体" w:hAnsi="宋体" w:cs="宋体"/>
          <w:szCs w:val="21"/>
        </w:rPr>
      </w:pPr>
      <w:r>
        <w:rPr>
          <w:rFonts w:hint="eastAsia" w:ascii="宋体" w:hAnsi="宋体" w:cs="宋体"/>
          <w:szCs w:val="21"/>
        </w:rPr>
        <w:t>乙方保证不在软件中对功能、性能、容量进行人为限制，不得含有陷阱、逻辑炸弹、后门等非法程序代码。</w:t>
      </w:r>
    </w:p>
    <w:p w14:paraId="479888E9">
      <w:pPr>
        <w:numPr>
          <w:ilvl w:val="0"/>
          <w:numId w:val="10"/>
        </w:numPr>
        <w:spacing w:line="360" w:lineRule="auto"/>
        <w:ind w:left="0" w:firstLine="0"/>
        <w:rPr>
          <w:rFonts w:ascii="宋体" w:hAnsi="宋体" w:cs="宋体"/>
          <w:szCs w:val="21"/>
        </w:rPr>
      </w:pPr>
      <w:r>
        <w:rPr>
          <w:rFonts w:hint="eastAsia" w:ascii="宋体" w:hAnsi="宋体" w:cs="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5D138736">
      <w:pPr>
        <w:numPr>
          <w:ilvl w:val="0"/>
          <w:numId w:val="10"/>
        </w:numPr>
        <w:spacing w:line="360" w:lineRule="auto"/>
        <w:ind w:left="0" w:firstLine="0"/>
        <w:rPr>
          <w:rFonts w:ascii="宋体" w:hAnsi="宋体" w:cs="宋体"/>
          <w:szCs w:val="21"/>
        </w:rPr>
      </w:pPr>
      <w:r>
        <w:rPr>
          <w:rFonts w:hint="eastAsia" w:ascii="宋体" w:hAnsi="宋体" w:cs="宋体"/>
          <w:szCs w:val="21"/>
        </w:rPr>
        <w:t>乙方应为其人员（含派驻甲方的技术工程师）提供相应劳动保护，非因甲方原因，乙方人员遭受人身、财产损害，或乙方人员造成甲方、第三人人身财产损害的，由乙方承担全部责任。</w:t>
      </w:r>
    </w:p>
    <w:p w14:paraId="2FD1674D">
      <w:pPr>
        <w:numPr>
          <w:ilvl w:val="0"/>
          <w:numId w:val="10"/>
        </w:numPr>
        <w:spacing w:line="360" w:lineRule="auto"/>
        <w:ind w:left="0" w:firstLine="0"/>
        <w:rPr>
          <w:rFonts w:ascii="宋体" w:hAnsi="宋体" w:cs="宋体"/>
          <w:szCs w:val="21"/>
        </w:rPr>
      </w:pPr>
      <w:r>
        <w:rPr>
          <w:rFonts w:hint="eastAsia" w:ascii="宋体" w:hAnsi="宋体" w:cs="宋体"/>
          <w:szCs w:val="21"/>
        </w:rPr>
        <w:t>乙方负责甲方的软件的安装部署、调试、系统集成工作。</w:t>
      </w:r>
    </w:p>
    <w:p w14:paraId="384FFA92">
      <w:pPr>
        <w:numPr>
          <w:ilvl w:val="0"/>
          <w:numId w:val="10"/>
        </w:numPr>
        <w:spacing w:line="360" w:lineRule="auto"/>
        <w:ind w:left="0" w:firstLine="0"/>
        <w:rPr>
          <w:rFonts w:ascii="宋体" w:hAnsi="宋体" w:cs="宋体"/>
          <w:szCs w:val="21"/>
        </w:rPr>
      </w:pPr>
      <w:r>
        <w:rPr>
          <w:rFonts w:hint="eastAsia" w:ascii="宋体" w:hAnsi="宋体" w:cs="宋体"/>
          <w:szCs w:val="21"/>
        </w:rPr>
        <w:t>乙方与甲方双方共享本项目的知识产权，乙方向甲方完全开放所有软件二次开发源代码；甲方有权根据自己的规划、方案，或与乙方讨论并修改的规划和方案单独申请国家、省、市或行业的奖项（如科技进步奖），甲方同意在获奖项目上与乙方共同署名，分享荣誉。乙方须根据甲方要求提供奖项申报、论文等相关材料。</w:t>
      </w:r>
    </w:p>
    <w:p w14:paraId="4C92AAF6">
      <w:pPr>
        <w:numPr>
          <w:ilvl w:val="0"/>
          <w:numId w:val="10"/>
        </w:numPr>
        <w:spacing w:line="360" w:lineRule="auto"/>
        <w:ind w:left="0" w:firstLine="0"/>
        <w:rPr>
          <w:szCs w:val="21"/>
        </w:rPr>
      </w:pPr>
      <w:r>
        <w:rPr>
          <w:rFonts w:hint="eastAsia" w:ascii="宋体" w:hAnsi="宋体" w:cs="宋体"/>
          <w:szCs w:val="21"/>
        </w:rPr>
        <w:t>乙方须保证提供的软件能够完整、平稳的运行在国内外各操作系统。</w:t>
      </w:r>
    </w:p>
    <w:p w14:paraId="17EAC8B8">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0" w:name="_Toc72326306"/>
      <w:r>
        <w:rPr>
          <w:rFonts w:hint="eastAsia" w:ascii="宋体" w:hAnsi="宋体" w:eastAsia="宋体" w:cs="宋体"/>
          <w:b/>
          <w:kern w:val="2"/>
          <w:sz w:val="21"/>
          <w:szCs w:val="21"/>
        </w:rPr>
        <w:t>十四、违约责任</w:t>
      </w:r>
      <w:bookmarkEnd w:id="30"/>
    </w:p>
    <w:p w14:paraId="65462107">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乙方承担本合同约定事项的违约责任，且不因设备或软件是由第三方制造或开发设计等因素而受到影响。</w:t>
      </w:r>
    </w:p>
    <w:p w14:paraId="37381528">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cs="宋体"/>
          <w:szCs w:val="21"/>
        </w:rPr>
        <w:t>应支付合同总额20%的违约金给</w:t>
      </w:r>
      <w:r>
        <w:rPr>
          <w:rFonts w:hint="eastAsia" w:ascii="宋体" w:hAnsi="宋体" w:cs="宋体"/>
          <w:color w:val="000000"/>
          <w:szCs w:val="21"/>
        </w:rPr>
        <w:t>甲方</w:t>
      </w:r>
      <w:r>
        <w:rPr>
          <w:rFonts w:hint="eastAsia" w:ascii="宋体" w:hAnsi="宋体" w:cs="宋体"/>
          <w:szCs w:val="21"/>
        </w:rPr>
        <w:t>。</w:t>
      </w:r>
    </w:p>
    <w:p w14:paraId="6E9FCBC6">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szCs w:val="21"/>
        </w:rPr>
        <w:t>若乙方未按甲方要求</w:t>
      </w:r>
      <w:r>
        <w:rPr>
          <w:rFonts w:hint="eastAsia" w:ascii="宋体" w:hAnsi="宋体" w:cs="宋体"/>
          <w:color w:val="000000"/>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cs="宋体"/>
          <w:szCs w:val="21"/>
        </w:rPr>
        <w:t>开据处罚单给乙方，并</w:t>
      </w:r>
      <w:r>
        <w:rPr>
          <w:rFonts w:hint="eastAsia" w:ascii="宋体" w:hAnsi="宋体" w:cs="宋体"/>
          <w:color w:val="000000"/>
          <w:szCs w:val="21"/>
        </w:rPr>
        <w:t>根据文档重要性</w:t>
      </w:r>
      <w:r>
        <w:rPr>
          <w:rFonts w:hint="eastAsia" w:ascii="宋体" w:hAnsi="宋体" w:cs="宋体"/>
          <w:szCs w:val="21"/>
        </w:rPr>
        <w:t>直接从合同应付款中扣除不超过合同总额1%作为违约金。</w:t>
      </w:r>
    </w:p>
    <w:p w14:paraId="34DD9494">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若甲方已有系统是由乙方提供的，则乙方应按甲方要求进行技术服务，保证业务的正常运营和系统的正常运行，否则甲方有权终止本合同。</w:t>
      </w:r>
    </w:p>
    <w:p w14:paraId="4D4C5C89">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在合同规定的包修期内，如果乙方维修售后服务不及时，未按照本合同第十条约定提供售后服务，且出现严重故障和紧急故障的，</w:t>
      </w:r>
      <w:r>
        <w:rPr>
          <w:rFonts w:hint="eastAsia" w:ascii="宋体" w:hAnsi="宋体" w:cs="宋体"/>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cs="宋体"/>
          <w:color w:val="000000"/>
          <w:szCs w:val="21"/>
        </w:rPr>
        <w:t>。</w:t>
      </w:r>
    </w:p>
    <w:p w14:paraId="24F41A60">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在合同规定的包修期内，如因乙方原因造成甲方其他经济损失的，乙方须承担赔偿损失的责任。</w:t>
      </w:r>
    </w:p>
    <w:p w14:paraId="2318D15C">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甲方有权根据当地质检部门出具的检验报告，就乙方提供的产品及系统质量问题向乙方提出索赔，检测费用由乙方承担。</w:t>
      </w:r>
    </w:p>
    <w:p w14:paraId="557B1165">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如果在甲方发出索赔通知后20日内，乙方未作书面答复，视为乙方接受索赔要求，乙方应当立即支付赔偿金。</w:t>
      </w:r>
    </w:p>
    <w:p w14:paraId="5CD912C1">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乙方未按本合同约定提供合格的服务，甲方在行使上述权利的同时，有权向第三方寻求该服务，由此产生的费用由乙方承担。</w:t>
      </w:r>
    </w:p>
    <w:p w14:paraId="3B46D6F4">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因乙方违约导致甲方终止合同的，乙方应将甲方已付的所有合同价款及利息退还甲方后，</w:t>
      </w:r>
      <w:r>
        <w:rPr>
          <w:rFonts w:hint="eastAsia" w:ascii="宋体" w:hAnsi="宋体" w:cs="宋体"/>
          <w:szCs w:val="21"/>
        </w:rPr>
        <w:t>此后</w:t>
      </w:r>
      <w:r>
        <w:rPr>
          <w:rFonts w:hint="eastAsia" w:ascii="宋体" w:hAnsi="宋体" w:cs="宋体"/>
          <w:color w:val="000000"/>
          <w:szCs w:val="21"/>
        </w:rPr>
        <w:t>甲方将相关软硬件设备及资料退还乙方，</w:t>
      </w:r>
      <w:bookmarkStart w:id="31" w:name="_Hlk75012964"/>
      <w:r>
        <w:rPr>
          <w:rFonts w:hint="eastAsia" w:ascii="宋体" w:hAnsi="宋体" w:cs="宋体"/>
          <w:szCs w:val="21"/>
        </w:rPr>
        <w:t>要求</w:t>
      </w:r>
      <w:r>
        <w:rPr>
          <w:rFonts w:hint="eastAsia" w:ascii="宋体" w:hAnsi="宋体" w:cs="宋体"/>
          <w:color w:val="000000"/>
          <w:szCs w:val="21"/>
        </w:rPr>
        <w:t>乙方</w:t>
      </w:r>
      <w:r>
        <w:rPr>
          <w:rFonts w:hint="eastAsia" w:ascii="宋体" w:hAnsi="宋体" w:cs="宋体"/>
          <w:szCs w:val="21"/>
        </w:rPr>
        <w:t>承担本合同约定的违约责任，支付甲方合同总价款的20%作为违约金，</w:t>
      </w:r>
      <w:bookmarkEnd w:id="31"/>
      <w:r>
        <w:rPr>
          <w:rFonts w:hint="eastAsia" w:ascii="宋体" w:hAnsi="宋体" w:cs="宋体"/>
          <w:szCs w:val="21"/>
        </w:rPr>
        <w:t>同时赔偿因此给甲方造成的全部损失</w:t>
      </w:r>
      <w:r>
        <w:rPr>
          <w:rFonts w:hint="eastAsia" w:ascii="宋体" w:hAnsi="宋体" w:cs="宋体"/>
          <w:color w:val="000000"/>
          <w:szCs w:val="21"/>
        </w:rPr>
        <w:t>。</w:t>
      </w:r>
    </w:p>
    <w:p w14:paraId="64D3E68B">
      <w:pPr>
        <w:numPr>
          <w:ilvl w:val="0"/>
          <w:numId w:val="11"/>
        </w:numPr>
        <w:tabs>
          <w:tab w:val="left" w:pos="0"/>
        </w:tabs>
        <w:spacing w:line="360" w:lineRule="auto"/>
        <w:ind w:left="0" w:firstLine="0"/>
        <w:rPr>
          <w:rFonts w:ascii="宋体" w:hAnsi="宋体" w:cs="宋体"/>
          <w:color w:val="000000"/>
          <w:szCs w:val="21"/>
        </w:rPr>
      </w:pPr>
      <w:bookmarkStart w:id="32" w:name="_Hlk74819798"/>
      <w:bookmarkStart w:id="33" w:name="_Hlk75012998"/>
      <w:r>
        <w:rPr>
          <w:rFonts w:hint="eastAsia" w:ascii="宋体" w:hAnsi="宋体" w:cs="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32"/>
      <w:r>
        <w:rPr>
          <w:rFonts w:hint="eastAsia" w:ascii="宋体" w:hAnsi="宋体" w:cs="宋体"/>
          <w:szCs w:val="21"/>
        </w:rPr>
        <w:t>。</w:t>
      </w:r>
    </w:p>
    <w:bookmarkEnd w:id="33"/>
    <w:p w14:paraId="3108EF33">
      <w:pPr>
        <w:numPr>
          <w:ilvl w:val="0"/>
          <w:numId w:val="11"/>
        </w:numPr>
        <w:tabs>
          <w:tab w:val="left" w:pos="0"/>
        </w:tabs>
        <w:spacing w:line="360" w:lineRule="auto"/>
        <w:ind w:left="0" w:firstLine="0"/>
        <w:rPr>
          <w:rFonts w:ascii="宋体" w:hAnsi="宋体" w:cs="宋体"/>
          <w:szCs w:val="21"/>
        </w:rPr>
      </w:pPr>
      <w:r>
        <w:rPr>
          <w:rFonts w:hint="eastAsia" w:ascii="宋体" w:hAnsi="宋体" w:cs="宋体"/>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34" w:name="_Hlk75013045"/>
      <w:r>
        <w:rPr>
          <w:rFonts w:hint="eastAsia" w:ascii="宋体" w:hAnsi="宋体" w:cs="宋体"/>
          <w:color w:val="000000"/>
          <w:szCs w:val="21"/>
        </w:rPr>
        <w:t>扣除合同总额1%作为违约金</w:t>
      </w:r>
      <w:bookmarkEnd w:id="34"/>
      <w:r>
        <w:rPr>
          <w:rFonts w:hint="eastAsia" w:ascii="宋体" w:hAnsi="宋体" w:cs="宋体"/>
          <w:color w:val="000000"/>
          <w:szCs w:val="21"/>
        </w:rPr>
        <w:t>。</w:t>
      </w:r>
      <w:bookmarkStart w:id="35" w:name="_Hlk74748674"/>
    </w:p>
    <w:p w14:paraId="727D3251">
      <w:pPr>
        <w:numPr>
          <w:ilvl w:val="0"/>
          <w:numId w:val="11"/>
        </w:numPr>
        <w:tabs>
          <w:tab w:val="left" w:pos="0"/>
        </w:tabs>
        <w:spacing w:line="360" w:lineRule="auto"/>
        <w:ind w:left="0" w:firstLine="0"/>
        <w:rPr>
          <w:rFonts w:ascii="宋体" w:hAnsi="宋体" w:cs="宋体"/>
          <w:szCs w:val="21"/>
        </w:rPr>
      </w:pPr>
      <w:r>
        <w:rPr>
          <w:rFonts w:hint="eastAsia" w:ascii="宋体" w:hAnsi="宋体" w:cs="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35"/>
    </w:p>
    <w:p w14:paraId="74A55D1B">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6" w:name="_Toc72326307"/>
      <w:r>
        <w:rPr>
          <w:rFonts w:hint="eastAsia" w:ascii="宋体" w:hAnsi="宋体" w:eastAsia="宋体" w:cs="宋体"/>
          <w:b/>
          <w:kern w:val="2"/>
          <w:sz w:val="21"/>
          <w:szCs w:val="21"/>
        </w:rPr>
        <w:t>十五、廉洁条款</w:t>
      </w:r>
      <w:bookmarkEnd w:id="36"/>
    </w:p>
    <w:p w14:paraId="2333D89C">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6055ADD1">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0F5BD3AE">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7" w:name="_Toc72326308"/>
      <w:r>
        <w:rPr>
          <w:rFonts w:hint="eastAsia" w:ascii="宋体" w:hAnsi="宋体" w:eastAsia="宋体" w:cs="宋体"/>
          <w:b/>
          <w:kern w:val="2"/>
          <w:sz w:val="21"/>
          <w:szCs w:val="21"/>
        </w:rPr>
        <w:t>十六、不可抗力</w:t>
      </w:r>
      <w:bookmarkEnd w:id="37"/>
    </w:p>
    <w:p w14:paraId="04E47776">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当发生不可抗拒事故时，受影响一方应于10日内以书面形式通知对方，以减轻可能给对方造成的损失，并应当在合理期限内提供公证机构出具的有效证明文件证明。</w:t>
      </w:r>
    </w:p>
    <w:p w14:paraId="03AC1E81">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当不可抗力事故终止后，受影响一方应以书面形式通知对方，双方商定合同是否继续履行。</w:t>
      </w:r>
    </w:p>
    <w:p w14:paraId="715D4E05">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不可抗力，互不追究或承担违约责任。但有违约因素的除外。</w:t>
      </w:r>
    </w:p>
    <w:p w14:paraId="183339A1">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8" w:name="_Toc72326309"/>
      <w:r>
        <w:rPr>
          <w:rFonts w:hint="eastAsia" w:ascii="宋体" w:hAnsi="宋体" w:eastAsia="宋体" w:cs="宋体"/>
          <w:b/>
          <w:kern w:val="2"/>
          <w:sz w:val="21"/>
          <w:szCs w:val="21"/>
        </w:rPr>
        <w:t>十七、解决纠纷的方式</w:t>
      </w:r>
      <w:bookmarkEnd w:id="38"/>
    </w:p>
    <w:p w14:paraId="05B16DC0">
      <w:pPr>
        <w:numPr>
          <w:ilvl w:val="0"/>
          <w:numId w:val="14"/>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凡由执行本合同引起或与合同有关的争议，均应通过友好协商解决；协商不成的，由甲方所在地有管辖权的人民法院裁决。</w:t>
      </w:r>
    </w:p>
    <w:p w14:paraId="74B712C6">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除争议事项待处理外，双方应继续执行合同无争议部分，除非无争议部分不可单独履行。</w:t>
      </w:r>
    </w:p>
    <w:p w14:paraId="2F0FC42F">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本合同适用于中华人民共和国大陆地区现行有效的法律。</w:t>
      </w:r>
    </w:p>
    <w:p w14:paraId="5894820C">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9" w:name="_Toc72326310"/>
      <w:r>
        <w:rPr>
          <w:rFonts w:hint="eastAsia" w:ascii="宋体" w:hAnsi="宋体" w:eastAsia="宋体" w:cs="宋体"/>
          <w:b/>
          <w:kern w:val="2"/>
          <w:sz w:val="21"/>
          <w:szCs w:val="21"/>
        </w:rPr>
        <w:t>十八、合同生效及其他</w:t>
      </w:r>
      <w:bookmarkEnd w:id="39"/>
    </w:p>
    <w:p w14:paraId="53915D34">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合同的生效期：本合同一式四份（甲乙双方各二份），每份均具有同等法律效力，自甲乙双方盖章之日起生效。</w:t>
      </w:r>
    </w:p>
    <w:p w14:paraId="48D1E096">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本合同所有附件为本合同不可分割的组成部分，与合同正文有同等的法律效力：</w:t>
      </w:r>
    </w:p>
    <w:p w14:paraId="1FDD43A9">
      <w:pPr>
        <w:adjustRightInd w:val="0"/>
        <w:snapToGrid w:val="0"/>
        <w:spacing w:line="360" w:lineRule="auto"/>
        <w:rPr>
          <w:rFonts w:ascii="宋体" w:hAnsi="宋体" w:cs="宋体"/>
          <w:szCs w:val="21"/>
        </w:rPr>
      </w:pPr>
      <w:r>
        <w:rPr>
          <w:rFonts w:hint="eastAsia" w:ascii="宋体" w:hAnsi="宋体" w:cs="宋体"/>
          <w:szCs w:val="21"/>
        </w:rPr>
        <w:t>（1）甲方的竞争性谈判文件、乙方的响应文件、谈判时乙方做出的书面承诺及其它补充修改的部分；</w:t>
      </w:r>
    </w:p>
    <w:p w14:paraId="2A0DFDB6">
      <w:pPr>
        <w:adjustRightInd w:val="0"/>
        <w:snapToGrid w:val="0"/>
        <w:spacing w:line="360" w:lineRule="auto"/>
        <w:rPr>
          <w:rFonts w:ascii="宋体" w:hAnsi="宋体" w:cs="宋体"/>
          <w:szCs w:val="21"/>
        </w:rPr>
      </w:pPr>
      <w:r>
        <w:rPr>
          <w:rFonts w:hint="eastAsia" w:ascii="宋体" w:hAnsi="宋体" w:cs="宋体"/>
          <w:szCs w:val="21"/>
        </w:rPr>
        <w:t>（2）在执行本合同期间，甲乙双方的所有应采用书面方式的通知。</w:t>
      </w:r>
    </w:p>
    <w:p w14:paraId="31CAC8B1">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本合同与上述文件如对相同内容有不同约定，且约定内容有冲突的，除另有特别约定外，依下列原则处理：</w:t>
      </w:r>
    </w:p>
    <w:p w14:paraId="57F3C02B">
      <w:pPr>
        <w:adjustRightInd w:val="0"/>
        <w:snapToGrid w:val="0"/>
        <w:spacing w:line="360" w:lineRule="auto"/>
        <w:rPr>
          <w:rFonts w:ascii="宋体" w:hAnsi="宋体" w:cs="宋体"/>
          <w:szCs w:val="21"/>
        </w:rPr>
      </w:pPr>
      <w:r>
        <w:rPr>
          <w:rFonts w:hint="eastAsia" w:ascii="宋体" w:hAnsi="宋体" w:cs="宋体"/>
          <w:szCs w:val="21"/>
        </w:rPr>
        <w:t>（1）合同条款优先于竞争性谈判文件和响应文件条款；</w:t>
      </w:r>
    </w:p>
    <w:p w14:paraId="06174A89">
      <w:pPr>
        <w:adjustRightInd w:val="0"/>
        <w:snapToGrid w:val="0"/>
        <w:spacing w:line="360" w:lineRule="auto"/>
        <w:rPr>
          <w:rFonts w:ascii="宋体" w:hAnsi="宋体" w:cs="宋体"/>
          <w:szCs w:val="21"/>
        </w:rPr>
      </w:pPr>
      <w:r>
        <w:rPr>
          <w:rFonts w:hint="eastAsia" w:ascii="宋体" w:hAnsi="宋体" w:cs="宋体"/>
          <w:szCs w:val="21"/>
        </w:rPr>
        <w:t>（2）在后文件的效力优先于在先文件的效力。</w:t>
      </w:r>
    </w:p>
    <w:p w14:paraId="7EB9E0DA">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甲乙双方对合同条款的理解有争议时，应当按照合同的有关条款、合同的目的、交易习惯以及诚实信用原则，确定该条款的真实含义。</w:t>
      </w:r>
    </w:p>
    <w:p w14:paraId="7C892DD7">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对本合同的任何修改和增补，以双方另行签订的补充协议为准。</w:t>
      </w:r>
    </w:p>
    <w:p w14:paraId="2D7DA8E2">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甲乙双方对本合同中产品的具体价格和交易方式有保密的责任，未经对方的书面许可，任何一方不得向第三方透露。</w:t>
      </w:r>
    </w:p>
    <w:p w14:paraId="4977DF36">
      <w:pPr>
        <w:numPr>
          <w:ilvl w:val="0"/>
          <w:numId w:val="15"/>
        </w:numPr>
        <w:adjustRightInd w:val="0"/>
        <w:snapToGrid w:val="0"/>
        <w:spacing w:line="360" w:lineRule="auto"/>
        <w:rPr>
          <w:rFonts w:ascii="宋体" w:hAnsi="宋体" w:cs="宋体"/>
          <w:szCs w:val="21"/>
        </w:rPr>
      </w:pPr>
      <w:r>
        <w:rPr>
          <w:rFonts w:hint="eastAsia" w:ascii="宋体" w:hAnsi="宋体" w:cs="宋体"/>
          <w:szCs w:val="21"/>
        </w:rPr>
        <w:t>本合同中的未尽事宜，甲乙双方协商解决，并按《中华人民共和国民法典》调整。</w:t>
      </w:r>
    </w:p>
    <w:p w14:paraId="0C2941E0">
      <w:pPr>
        <w:pStyle w:val="2"/>
        <w:numPr>
          <w:ilvl w:val="255"/>
          <w:numId w:val="0"/>
        </w:numPr>
        <w:adjustRightInd w:val="0"/>
        <w:snapToGrid w:val="0"/>
        <w:spacing w:before="0" w:after="0" w:line="360" w:lineRule="auto"/>
        <w:ind w:left="4"/>
        <w:jc w:val="left"/>
        <w:rPr>
          <w:rFonts w:ascii="宋体" w:hAnsi="宋体" w:eastAsia="宋体" w:cs="宋体"/>
          <w:b/>
          <w:kern w:val="2"/>
          <w:sz w:val="21"/>
          <w:szCs w:val="21"/>
        </w:rPr>
      </w:pPr>
      <w:bookmarkStart w:id="40" w:name="_Toc72326311"/>
      <w:r>
        <w:rPr>
          <w:rFonts w:hint="eastAsia" w:ascii="宋体" w:hAnsi="宋体" w:eastAsia="宋体" w:cs="宋体"/>
          <w:b/>
          <w:kern w:val="2"/>
          <w:sz w:val="21"/>
          <w:szCs w:val="21"/>
        </w:rPr>
        <w:t>十九、附件列表</w:t>
      </w:r>
      <w:bookmarkEnd w:id="40"/>
    </w:p>
    <w:p w14:paraId="43CD82A4">
      <w:pPr>
        <w:spacing w:line="360" w:lineRule="auto"/>
        <w:rPr>
          <w:b/>
          <w:bCs/>
          <w:color w:val="000000"/>
          <w:szCs w:val="21"/>
        </w:rPr>
      </w:pPr>
      <w:r>
        <w:rPr>
          <w:rFonts w:hint="eastAsia"/>
          <w:b/>
          <w:bCs/>
          <w:color w:val="000000"/>
          <w:szCs w:val="21"/>
        </w:rPr>
        <w:t>附件一：响应函</w:t>
      </w:r>
    </w:p>
    <w:p w14:paraId="54CED377">
      <w:pPr>
        <w:adjustRightInd w:val="0"/>
        <w:snapToGrid w:val="0"/>
        <w:spacing w:line="360" w:lineRule="auto"/>
        <w:ind w:left="210" w:hanging="210" w:hangingChars="100"/>
        <w:jc w:val="left"/>
        <w:rPr>
          <w:rFonts w:ascii="宋体" w:hAnsi="宋体" w:cs="宋体"/>
          <w:szCs w:val="21"/>
        </w:rPr>
      </w:pPr>
    </w:p>
    <w:p w14:paraId="739FBDC6">
      <w:pPr>
        <w:adjustRightInd w:val="0"/>
        <w:snapToGrid w:val="0"/>
        <w:spacing w:line="360" w:lineRule="auto"/>
        <w:ind w:left="210" w:hanging="210" w:hangingChars="100"/>
        <w:jc w:val="left"/>
        <w:rPr>
          <w:rFonts w:ascii="宋体" w:hAnsi="宋体" w:cs="宋体"/>
          <w:szCs w:val="21"/>
        </w:rPr>
      </w:pPr>
      <w:r>
        <w:rPr>
          <w:rFonts w:hint="eastAsia" w:ascii="宋体" w:hAnsi="宋体" w:cs="宋体"/>
          <w:szCs w:val="21"/>
        </w:rPr>
        <w:t>甲方：</w:t>
      </w:r>
      <w:r>
        <w:rPr>
          <w:rFonts w:hint="eastAsia" w:ascii="宋体" w:hAnsi="宋体" w:cs="宋体"/>
          <w:szCs w:val="21"/>
          <w:u w:val="single"/>
        </w:rPr>
        <w:t>江苏省广电有线信息网络股份有限公司</w:t>
      </w:r>
      <w:r>
        <w:rPr>
          <w:rFonts w:hint="eastAsia" w:ascii="宋体" w:hAnsi="宋体" w:cs="宋体"/>
          <w:szCs w:val="21"/>
        </w:rPr>
        <w:t>乙方：</w:t>
      </w:r>
      <w:r>
        <w:rPr>
          <w:rFonts w:hint="eastAsia" w:ascii="宋体" w:hAnsi="宋体" w:cs="宋体"/>
          <w:szCs w:val="21"/>
          <w:u w:val="single"/>
        </w:rPr>
        <w:t xml:space="preserve">                       公司</w:t>
      </w:r>
    </w:p>
    <w:p w14:paraId="3CFEB131">
      <w:pPr>
        <w:adjustRightInd w:val="0"/>
        <w:snapToGrid w:val="0"/>
        <w:spacing w:line="360" w:lineRule="auto"/>
        <w:rPr>
          <w:rFonts w:ascii="宋体" w:hAnsi="宋体" w:cs="宋体"/>
          <w:szCs w:val="21"/>
        </w:rPr>
      </w:pPr>
      <w:r>
        <w:rPr>
          <w:rFonts w:hint="eastAsia" w:ascii="宋体" w:hAnsi="宋体" w:cs="宋体"/>
          <w:szCs w:val="21"/>
        </w:rPr>
        <w:t>（盖章）_________________________          （盖章）_______________________</w:t>
      </w:r>
    </w:p>
    <w:p w14:paraId="4A495C19">
      <w:pPr>
        <w:adjustRightInd w:val="0"/>
        <w:snapToGrid w:val="0"/>
        <w:spacing w:line="360" w:lineRule="auto"/>
        <w:ind w:firstLine="105" w:firstLineChars="50"/>
        <w:rPr>
          <w:rFonts w:ascii="宋体" w:hAnsi="宋体" w:cs="宋体"/>
          <w:szCs w:val="21"/>
        </w:rPr>
      </w:pPr>
      <w:r>
        <w:rPr>
          <w:rFonts w:hint="eastAsia" w:ascii="宋体" w:hAnsi="宋体" w:cs="宋体"/>
          <w:szCs w:val="21"/>
        </w:rPr>
        <w:t>地址：___________________                  地址：____________________</w:t>
      </w:r>
    </w:p>
    <w:p w14:paraId="239B39DF">
      <w:pPr>
        <w:adjustRightInd w:val="0"/>
        <w:snapToGrid w:val="0"/>
        <w:spacing w:line="360" w:lineRule="auto"/>
        <w:ind w:firstLine="105" w:firstLineChars="50"/>
        <w:rPr>
          <w:rFonts w:ascii="宋体" w:hAnsi="宋体" w:cs="宋体"/>
          <w:szCs w:val="21"/>
        </w:rPr>
      </w:pPr>
      <w:r>
        <w:rPr>
          <w:rFonts w:hint="eastAsia" w:ascii="宋体" w:hAnsi="宋体" w:cs="宋体"/>
          <w:szCs w:val="21"/>
        </w:rPr>
        <w:t>电话：                 电话：___________________</w:t>
      </w:r>
    </w:p>
    <w:p w14:paraId="3810F0C7">
      <w:pPr>
        <w:adjustRightInd w:val="0"/>
        <w:snapToGrid w:val="0"/>
        <w:spacing w:line="360" w:lineRule="auto"/>
        <w:ind w:firstLine="105" w:firstLineChars="50"/>
        <w:rPr>
          <w:rFonts w:ascii="宋体" w:hAnsi="宋体" w:cs="宋体"/>
          <w:szCs w:val="21"/>
          <w:u w:val="single"/>
        </w:rPr>
      </w:pPr>
      <w:r>
        <w:rPr>
          <w:rFonts w:hint="eastAsia" w:ascii="宋体" w:hAnsi="宋体" w:cs="宋体"/>
          <w:szCs w:val="21"/>
        </w:rPr>
        <w:t>开户银行：               开户银行：___________________</w:t>
      </w:r>
    </w:p>
    <w:p w14:paraId="1A830A39">
      <w:pPr>
        <w:adjustRightInd w:val="0"/>
        <w:snapToGrid w:val="0"/>
        <w:spacing w:line="360" w:lineRule="auto"/>
        <w:ind w:firstLine="105" w:firstLineChars="50"/>
        <w:rPr>
          <w:rFonts w:ascii="宋体" w:hAnsi="宋体" w:cs="宋体"/>
          <w:szCs w:val="21"/>
        </w:rPr>
      </w:pPr>
      <w:r>
        <w:rPr>
          <w:rFonts w:hint="eastAsia" w:ascii="宋体" w:hAnsi="宋体" w:cs="宋体"/>
          <w:szCs w:val="21"/>
        </w:rPr>
        <w:t>银行账号：           银行账号：___________________</w:t>
      </w:r>
    </w:p>
    <w:p w14:paraId="36DB1C15">
      <w:pPr>
        <w:spacing w:line="300" w:lineRule="auto"/>
        <w:ind w:firstLine="5040" w:firstLineChars="2400"/>
        <w:rPr>
          <w:rFonts w:ascii="宋体" w:hAnsi="宋体" w:cs="宋体"/>
          <w:szCs w:val="21"/>
        </w:rPr>
      </w:pPr>
    </w:p>
    <w:p w14:paraId="6A6859F7">
      <w:pPr>
        <w:spacing w:line="300" w:lineRule="auto"/>
        <w:ind w:firstLine="5040" w:firstLineChars="2400"/>
        <w:rPr>
          <w:rFonts w:ascii="宋体" w:hAnsi="宋体" w:cs="宋体"/>
          <w:szCs w:val="21"/>
        </w:rPr>
      </w:pPr>
      <w:r>
        <w:rPr>
          <w:rFonts w:hint="eastAsia" w:ascii="宋体" w:hAnsi="宋体" w:cs="宋体"/>
          <w:szCs w:val="21"/>
        </w:rPr>
        <w:t>签订日期：年月日</w:t>
      </w:r>
      <w:bookmarkEnd w:id="23"/>
    </w:p>
    <w:p w14:paraId="5306C21E">
      <w:pPr>
        <w:spacing w:line="360" w:lineRule="auto"/>
        <w:rPr>
          <w:b/>
          <w:bCs/>
          <w:color w:val="000000"/>
          <w:szCs w:val="21"/>
        </w:rPr>
      </w:pPr>
      <w:r>
        <w:rPr>
          <w:sz w:val="22"/>
          <w:szCs w:val="22"/>
        </w:rPr>
        <w:br w:type="page"/>
      </w:r>
      <w:r>
        <w:rPr>
          <w:rFonts w:hint="eastAsia"/>
          <w:b/>
          <w:bCs/>
          <w:color w:val="000000"/>
          <w:szCs w:val="21"/>
        </w:rPr>
        <w:t>附件二：价格表</w:t>
      </w:r>
    </w:p>
    <w:tbl>
      <w:tblPr>
        <w:tblStyle w:val="54"/>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382"/>
        <w:gridCol w:w="1383"/>
        <w:gridCol w:w="1383"/>
        <w:gridCol w:w="1383"/>
        <w:gridCol w:w="1383"/>
      </w:tblGrid>
      <w:tr w14:paraId="3B01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56AA7BDF">
            <w:pPr>
              <w:spacing w:line="400" w:lineRule="exact"/>
              <w:jc w:val="center"/>
              <w:rPr>
                <w:rFonts w:ascii="仿宋" w:hAnsi="仿宋" w:eastAsia="仿宋" w:cs="宋体"/>
                <w:kern w:val="0"/>
                <w:sz w:val="24"/>
              </w:rPr>
            </w:pPr>
            <w:r>
              <w:rPr>
                <w:rFonts w:hint="eastAsia" w:ascii="仿宋" w:hAnsi="仿宋" w:eastAsia="仿宋" w:cs="宋体"/>
                <w:kern w:val="0"/>
                <w:sz w:val="24"/>
              </w:rPr>
              <w:t>序号</w:t>
            </w:r>
          </w:p>
        </w:tc>
        <w:tc>
          <w:tcPr>
            <w:tcW w:w="1382" w:type="dxa"/>
            <w:vAlign w:val="center"/>
          </w:tcPr>
          <w:p w14:paraId="50629BF5">
            <w:pPr>
              <w:spacing w:line="400" w:lineRule="exact"/>
              <w:jc w:val="center"/>
              <w:rPr>
                <w:rFonts w:ascii="仿宋" w:hAnsi="仿宋" w:eastAsia="仿宋" w:cs="宋体"/>
                <w:kern w:val="0"/>
                <w:sz w:val="24"/>
              </w:rPr>
            </w:pPr>
            <w:r>
              <w:rPr>
                <w:rFonts w:hint="eastAsia" w:ascii="仿宋" w:hAnsi="仿宋" w:eastAsia="仿宋" w:cs="宋体"/>
                <w:kern w:val="0"/>
                <w:sz w:val="24"/>
              </w:rPr>
              <w:t>项目名称</w:t>
            </w:r>
          </w:p>
        </w:tc>
        <w:tc>
          <w:tcPr>
            <w:tcW w:w="1383" w:type="dxa"/>
            <w:vAlign w:val="center"/>
          </w:tcPr>
          <w:p w14:paraId="1FE579D7">
            <w:pPr>
              <w:spacing w:line="400" w:lineRule="exact"/>
              <w:jc w:val="center"/>
              <w:rPr>
                <w:rFonts w:ascii="仿宋" w:hAnsi="仿宋" w:eastAsia="仿宋" w:cs="宋体"/>
                <w:kern w:val="0"/>
                <w:sz w:val="24"/>
              </w:rPr>
            </w:pPr>
            <w:r>
              <w:rPr>
                <w:rFonts w:hint="eastAsia" w:ascii="仿宋" w:hAnsi="仿宋" w:eastAsia="仿宋" w:cs="宋体"/>
                <w:kern w:val="0"/>
                <w:sz w:val="24"/>
              </w:rPr>
              <w:t>功能/模块</w:t>
            </w:r>
          </w:p>
        </w:tc>
        <w:tc>
          <w:tcPr>
            <w:tcW w:w="1383" w:type="dxa"/>
            <w:vAlign w:val="center"/>
          </w:tcPr>
          <w:p w14:paraId="562A0E86">
            <w:pPr>
              <w:spacing w:line="400" w:lineRule="exact"/>
              <w:jc w:val="center"/>
              <w:rPr>
                <w:rFonts w:ascii="仿宋" w:hAnsi="仿宋" w:eastAsia="仿宋" w:cs="宋体"/>
                <w:kern w:val="0"/>
                <w:sz w:val="24"/>
              </w:rPr>
            </w:pPr>
            <w:r>
              <w:rPr>
                <w:rFonts w:hint="eastAsia" w:ascii="仿宋" w:hAnsi="仿宋" w:eastAsia="仿宋" w:cs="宋体"/>
                <w:kern w:val="0"/>
                <w:sz w:val="24"/>
              </w:rPr>
              <w:t>单价</w:t>
            </w:r>
          </w:p>
        </w:tc>
        <w:tc>
          <w:tcPr>
            <w:tcW w:w="1383" w:type="dxa"/>
            <w:vAlign w:val="center"/>
          </w:tcPr>
          <w:p w14:paraId="27D73A9A">
            <w:pPr>
              <w:spacing w:line="400" w:lineRule="exact"/>
              <w:jc w:val="center"/>
              <w:rPr>
                <w:rFonts w:ascii="仿宋" w:hAnsi="仿宋" w:eastAsia="仿宋" w:cs="宋体"/>
                <w:kern w:val="0"/>
                <w:sz w:val="24"/>
              </w:rPr>
            </w:pPr>
            <w:r>
              <w:rPr>
                <w:rFonts w:hint="eastAsia" w:ascii="仿宋" w:hAnsi="仿宋" w:eastAsia="仿宋" w:cs="宋体"/>
                <w:kern w:val="0"/>
                <w:sz w:val="24"/>
              </w:rPr>
              <w:t>数量</w:t>
            </w:r>
          </w:p>
        </w:tc>
        <w:tc>
          <w:tcPr>
            <w:tcW w:w="1383" w:type="dxa"/>
            <w:vAlign w:val="center"/>
          </w:tcPr>
          <w:p w14:paraId="3AF5C9F1">
            <w:pPr>
              <w:spacing w:line="400" w:lineRule="exact"/>
              <w:jc w:val="center"/>
              <w:rPr>
                <w:rFonts w:ascii="仿宋" w:hAnsi="仿宋" w:eastAsia="仿宋" w:cs="宋体"/>
                <w:kern w:val="0"/>
                <w:sz w:val="24"/>
              </w:rPr>
            </w:pPr>
            <w:r>
              <w:rPr>
                <w:rFonts w:hint="eastAsia" w:ascii="仿宋" w:hAnsi="仿宋" w:eastAsia="仿宋" w:cs="宋体"/>
                <w:kern w:val="0"/>
                <w:sz w:val="24"/>
              </w:rPr>
              <w:t>小计</w:t>
            </w:r>
          </w:p>
        </w:tc>
      </w:tr>
      <w:tr w14:paraId="6A61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14:paraId="0A9387FC">
            <w:pPr>
              <w:spacing w:line="400" w:lineRule="exact"/>
              <w:jc w:val="center"/>
              <w:rPr>
                <w:rFonts w:ascii="仿宋" w:hAnsi="仿宋" w:eastAsia="仿宋" w:cs="宋体"/>
                <w:kern w:val="0"/>
                <w:sz w:val="24"/>
              </w:rPr>
            </w:pPr>
            <w:r>
              <w:rPr>
                <w:rFonts w:hint="eastAsia" w:ascii="仿宋" w:hAnsi="仿宋" w:eastAsia="仿宋" w:cs="宋体"/>
                <w:kern w:val="0"/>
                <w:sz w:val="24"/>
              </w:rPr>
              <w:t>1</w:t>
            </w:r>
          </w:p>
        </w:tc>
        <w:tc>
          <w:tcPr>
            <w:tcW w:w="1382" w:type="dxa"/>
          </w:tcPr>
          <w:p w14:paraId="155AB492">
            <w:pPr>
              <w:spacing w:line="400" w:lineRule="exact"/>
              <w:jc w:val="center"/>
              <w:rPr>
                <w:rFonts w:ascii="仿宋" w:hAnsi="仿宋" w:eastAsia="仿宋" w:cs="宋体"/>
                <w:kern w:val="0"/>
                <w:sz w:val="24"/>
              </w:rPr>
            </w:pPr>
            <w:r>
              <w:rPr>
                <w:rFonts w:hint="eastAsia" w:ascii="仿宋" w:hAnsi="仿宋" w:eastAsia="仿宋" w:cs="宋体"/>
                <w:kern w:val="0"/>
                <w:sz w:val="24"/>
              </w:rPr>
              <w:t>O域系统适老化改造</w:t>
            </w:r>
          </w:p>
        </w:tc>
        <w:tc>
          <w:tcPr>
            <w:tcW w:w="1383" w:type="dxa"/>
          </w:tcPr>
          <w:p w14:paraId="792A98AF">
            <w:pPr>
              <w:spacing w:line="400" w:lineRule="exact"/>
              <w:jc w:val="center"/>
              <w:rPr>
                <w:rFonts w:ascii="仿宋" w:hAnsi="仿宋" w:eastAsia="仿宋" w:cs="宋体"/>
                <w:kern w:val="0"/>
                <w:sz w:val="24"/>
              </w:rPr>
            </w:pPr>
            <w:r>
              <w:rPr>
                <w:rFonts w:hint="eastAsia" w:ascii="仿宋" w:hAnsi="仿宋" w:eastAsia="仿宋" w:cs="宋体"/>
                <w:kern w:val="0"/>
                <w:sz w:val="24"/>
              </w:rPr>
              <w:t>O域系统适老化改造</w:t>
            </w:r>
          </w:p>
        </w:tc>
        <w:tc>
          <w:tcPr>
            <w:tcW w:w="1383" w:type="dxa"/>
          </w:tcPr>
          <w:p w14:paraId="794FD770">
            <w:pPr>
              <w:spacing w:line="400" w:lineRule="exact"/>
              <w:jc w:val="center"/>
              <w:rPr>
                <w:rFonts w:ascii="仿宋" w:hAnsi="仿宋" w:eastAsia="仿宋" w:cs="宋体"/>
                <w:kern w:val="0"/>
                <w:sz w:val="24"/>
              </w:rPr>
            </w:pPr>
            <w:r>
              <w:rPr>
                <w:rFonts w:hint="eastAsia" w:ascii="仿宋" w:hAnsi="仿宋" w:eastAsia="仿宋" w:cs="宋体"/>
                <w:kern w:val="0"/>
                <w:sz w:val="24"/>
              </w:rPr>
              <w:t>20</w:t>
            </w:r>
          </w:p>
        </w:tc>
        <w:tc>
          <w:tcPr>
            <w:tcW w:w="1383" w:type="dxa"/>
          </w:tcPr>
          <w:p w14:paraId="0DFA6A09">
            <w:pPr>
              <w:spacing w:line="400" w:lineRule="exact"/>
              <w:jc w:val="center"/>
              <w:rPr>
                <w:rFonts w:ascii="仿宋" w:hAnsi="仿宋" w:eastAsia="仿宋" w:cs="宋体"/>
                <w:kern w:val="0"/>
                <w:sz w:val="24"/>
              </w:rPr>
            </w:pPr>
            <w:r>
              <w:rPr>
                <w:rFonts w:hint="eastAsia" w:ascii="仿宋" w:hAnsi="仿宋" w:eastAsia="仿宋" w:cs="宋体"/>
                <w:kern w:val="0"/>
                <w:sz w:val="24"/>
              </w:rPr>
              <w:t>1</w:t>
            </w:r>
          </w:p>
        </w:tc>
        <w:tc>
          <w:tcPr>
            <w:tcW w:w="1383" w:type="dxa"/>
          </w:tcPr>
          <w:p w14:paraId="0459B65F">
            <w:pPr>
              <w:spacing w:line="400" w:lineRule="exact"/>
              <w:jc w:val="center"/>
              <w:rPr>
                <w:rFonts w:ascii="仿宋" w:hAnsi="仿宋" w:eastAsia="仿宋" w:cs="宋体"/>
                <w:kern w:val="0"/>
                <w:sz w:val="24"/>
              </w:rPr>
            </w:pPr>
            <w:r>
              <w:rPr>
                <w:rFonts w:hint="eastAsia" w:ascii="仿宋" w:hAnsi="仿宋" w:eastAsia="仿宋" w:cs="宋体"/>
                <w:kern w:val="0"/>
                <w:sz w:val="24"/>
              </w:rPr>
              <w:t>20</w:t>
            </w:r>
          </w:p>
        </w:tc>
      </w:tr>
      <w:tr w14:paraId="42E7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14:paraId="4284CF21">
            <w:pPr>
              <w:spacing w:line="400" w:lineRule="exact"/>
              <w:jc w:val="center"/>
              <w:rPr>
                <w:rFonts w:ascii="仿宋" w:hAnsi="仿宋" w:eastAsia="仿宋" w:cs="宋体"/>
                <w:kern w:val="0"/>
                <w:sz w:val="24"/>
              </w:rPr>
            </w:pPr>
            <w:r>
              <w:rPr>
                <w:rFonts w:hint="eastAsia" w:ascii="仿宋" w:hAnsi="仿宋" w:eastAsia="仿宋" w:cs="宋体"/>
                <w:kern w:val="0"/>
                <w:sz w:val="24"/>
              </w:rPr>
              <w:t>总价（万元）</w:t>
            </w:r>
          </w:p>
        </w:tc>
        <w:tc>
          <w:tcPr>
            <w:tcW w:w="6914" w:type="dxa"/>
            <w:gridSpan w:val="5"/>
          </w:tcPr>
          <w:p w14:paraId="207AA5D2">
            <w:pPr>
              <w:spacing w:line="400" w:lineRule="exact"/>
              <w:jc w:val="right"/>
              <w:rPr>
                <w:rFonts w:ascii="仿宋" w:hAnsi="仿宋" w:eastAsia="仿宋" w:cs="宋体"/>
                <w:kern w:val="0"/>
                <w:sz w:val="24"/>
              </w:rPr>
            </w:pPr>
            <w:r>
              <w:rPr>
                <w:rFonts w:hint="eastAsia" w:ascii="仿宋" w:hAnsi="仿宋" w:eastAsia="仿宋" w:cs="宋体"/>
                <w:kern w:val="0"/>
                <w:sz w:val="24"/>
              </w:rPr>
              <w:t>20</w:t>
            </w:r>
          </w:p>
        </w:tc>
      </w:tr>
    </w:tbl>
    <w:p w14:paraId="7EBAD3D1">
      <w:pPr>
        <w:widowControl/>
        <w:jc w:val="left"/>
        <w:rPr>
          <w:szCs w:val="21"/>
        </w:rPr>
      </w:pPr>
      <w:r>
        <w:rPr>
          <w:szCs w:val="21"/>
        </w:rPr>
        <w:br w:type="page"/>
      </w:r>
    </w:p>
    <w:p w14:paraId="102C77DB">
      <w:pPr>
        <w:rPr>
          <w:b/>
          <w:bCs/>
          <w:szCs w:val="21"/>
        </w:rPr>
      </w:pPr>
      <w:r>
        <w:rPr>
          <w:rFonts w:hint="eastAsia"/>
          <w:b/>
          <w:bCs/>
          <w:szCs w:val="21"/>
        </w:rPr>
        <w:t>附件五：考核及处罚办法</w:t>
      </w:r>
    </w:p>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11"/>
        <w:gridCol w:w="6672"/>
        <w:gridCol w:w="992"/>
      </w:tblGrid>
      <w:tr w14:paraId="5287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6A6A6"/>
            <w:vAlign w:val="center"/>
          </w:tcPr>
          <w:p w14:paraId="554E2F9A">
            <w:pPr>
              <w:rPr>
                <w:b/>
                <w:sz w:val="18"/>
                <w:szCs w:val="18"/>
              </w:rPr>
            </w:pPr>
            <w:r>
              <w:rPr>
                <w:b/>
                <w:sz w:val="18"/>
                <w:szCs w:val="18"/>
              </w:rPr>
              <w:t>序号</w:t>
            </w:r>
          </w:p>
        </w:tc>
        <w:tc>
          <w:tcPr>
            <w:tcW w:w="1011" w:type="dxa"/>
            <w:shd w:val="clear" w:color="auto" w:fill="A6A6A6"/>
          </w:tcPr>
          <w:p w14:paraId="6143BC5A">
            <w:pPr>
              <w:rPr>
                <w:b/>
                <w:sz w:val="18"/>
                <w:szCs w:val="18"/>
              </w:rPr>
            </w:pPr>
            <w:r>
              <w:rPr>
                <w:b/>
                <w:sz w:val="18"/>
                <w:szCs w:val="18"/>
              </w:rPr>
              <w:t>考核项</w:t>
            </w:r>
          </w:p>
        </w:tc>
        <w:tc>
          <w:tcPr>
            <w:tcW w:w="6672" w:type="dxa"/>
            <w:shd w:val="clear" w:color="auto" w:fill="A6A6A6"/>
          </w:tcPr>
          <w:p w14:paraId="52EA15D8">
            <w:pPr>
              <w:rPr>
                <w:b/>
                <w:sz w:val="18"/>
                <w:szCs w:val="18"/>
              </w:rPr>
            </w:pPr>
            <w:r>
              <w:rPr>
                <w:b/>
                <w:sz w:val="18"/>
                <w:szCs w:val="18"/>
              </w:rPr>
              <w:t>考核细项</w:t>
            </w:r>
          </w:p>
        </w:tc>
        <w:tc>
          <w:tcPr>
            <w:tcW w:w="992" w:type="dxa"/>
            <w:shd w:val="clear" w:color="auto" w:fill="A6A6A6"/>
            <w:vAlign w:val="center"/>
          </w:tcPr>
          <w:p w14:paraId="34EEDAA4">
            <w:pPr>
              <w:rPr>
                <w:b/>
                <w:sz w:val="18"/>
                <w:szCs w:val="18"/>
              </w:rPr>
            </w:pPr>
            <w:r>
              <w:rPr>
                <w:b/>
                <w:sz w:val="18"/>
                <w:szCs w:val="18"/>
              </w:rPr>
              <w:t>单项分值</w:t>
            </w:r>
          </w:p>
        </w:tc>
      </w:tr>
      <w:tr w14:paraId="3639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B650E17">
            <w:pPr>
              <w:rPr>
                <w:b/>
                <w:sz w:val="18"/>
                <w:szCs w:val="18"/>
              </w:rPr>
            </w:pPr>
            <w:r>
              <w:rPr>
                <w:b/>
                <w:sz w:val="18"/>
                <w:szCs w:val="18"/>
              </w:rPr>
              <w:t>1</w:t>
            </w:r>
          </w:p>
        </w:tc>
        <w:tc>
          <w:tcPr>
            <w:tcW w:w="1011" w:type="dxa"/>
            <w:vMerge w:val="restart"/>
            <w:vAlign w:val="center"/>
          </w:tcPr>
          <w:p w14:paraId="47F7792C">
            <w:pPr>
              <w:rPr>
                <w:sz w:val="18"/>
                <w:szCs w:val="18"/>
              </w:rPr>
            </w:pPr>
            <w:r>
              <w:rPr>
                <w:rFonts w:hint="eastAsia"/>
                <w:sz w:val="18"/>
                <w:szCs w:val="18"/>
              </w:rPr>
              <w:t>资源/接口</w:t>
            </w:r>
            <w:r>
              <w:rPr>
                <w:sz w:val="18"/>
                <w:szCs w:val="18"/>
              </w:rPr>
              <w:t>稳定性</w:t>
            </w:r>
          </w:p>
        </w:tc>
        <w:tc>
          <w:tcPr>
            <w:tcW w:w="6672" w:type="dxa"/>
          </w:tcPr>
          <w:p w14:paraId="39D0213B">
            <w:pPr>
              <w:ind w:firstLine="360"/>
              <w:jc w:val="left"/>
              <w:rPr>
                <w:sz w:val="18"/>
                <w:szCs w:val="18"/>
              </w:rPr>
            </w:pPr>
            <w:r>
              <w:rPr>
                <w:sz w:val="18"/>
                <w:szCs w:val="18"/>
              </w:rPr>
              <w:t>因维护不及时或不当或不准或人为错误或开发质量导致重大事件或监控中断、监控数据丢失等大故障</w:t>
            </w:r>
          </w:p>
        </w:tc>
        <w:tc>
          <w:tcPr>
            <w:tcW w:w="992" w:type="dxa"/>
            <w:vAlign w:val="center"/>
          </w:tcPr>
          <w:p w14:paraId="5E1070EB">
            <w:pPr>
              <w:ind w:firstLine="360"/>
              <w:jc w:val="center"/>
              <w:rPr>
                <w:sz w:val="18"/>
                <w:szCs w:val="18"/>
              </w:rPr>
            </w:pPr>
            <w:r>
              <w:rPr>
                <w:sz w:val="18"/>
                <w:szCs w:val="18"/>
              </w:rPr>
              <w:t>6</w:t>
            </w:r>
          </w:p>
        </w:tc>
      </w:tr>
      <w:tr w14:paraId="34BA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6D57EAE">
            <w:pPr>
              <w:ind w:firstLine="360"/>
              <w:jc w:val="center"/>
              <w:rPr>
                <w:sz w:val="18"/>
                <w:szCs w:val="18"/>
              </w:rPr>
            </w:pPr>
          </w:p>
        </w:tc>
        <w:tc>
          <w:tcPr>
            <w:tcW w:w="1011" w:type="dxa"/>
            <w:vMerge w:val="continue"/>
          </w:tcPr>
          <w:p w14:paraId="7EF79B23">
            <w:pPr>
              <w:ind w:firstLine="360"/>
              <w:jc w:val="center"/>
              <w:rPr>
                <w:sz w:val="18"/>
                <w:szCs w:val="18"/>
              </w:rPr>
            </w:pPr>
          </w:p>
        </w:tc>
        <w:tc>
          <w:tcPr>
            <w:tcW w:w="6672" w:type="dxa"/>
          </w:tcPr>
          <w:p w14:paraId="2276523A">
            <w:pPr>
              <w:ind w:firstLine="360"/>
              <w:jc w:val="left"/>
              <w:rPr>
                <w:sz w:val="18"/>
                <w:szCs w:val="18"/>
              </w:rPr>
            </w:pPr>
            <w:r>
              <w:rPr>
                <w:sz w:val="18"/>
                <w:szCs w:val="18"/>
              </w:rPr>
              <w:t>非外部原因导致关键业务无法办理、前台无法登陆、对外接口无法正常对外提供服务，超过30min未恢复</w:t>
            </w:r>
          </w:p>
        </w:tc>
        <w:tc>
          <w:tcPr>
            <w:tcW w:w="992" w:type="dxa"/>
            <w:vAlign w:val="center"/>
          </w:tcPr>
          <w:p w14:paraId="5E493653">
            <w:pPr>
              <w:ind w:firstLine="360"/>
              <w:jc w:val="center"/>
              <w:rPr>
                <w:sz w:val="18"/>
                <w:szCs w:val="18"/>
              </w:rPr>
            </w:pPr>
            <w:r>
              <w:rPr>
                <w:sz w:val="18"/>
                <w:szCs w:val="18"/>
              </w:rPr>
              <w:t>6</w:t>
            </w:r>
          </w:p>
        </w:tc>
      </w:tr>
      <w:tr w14:paraId="7C2E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86AE03C">
            <w:pPr>
              <w:ind w:firstLine="360"/>
              <w:jc w:val="center"/>
              <w:rPr>
                <w:sz w:val="18"/>
                <w:szCs w:val="18"/>
              </w:rPr>
            </w:pPr>
          </w:p>
        </w:tc>
        <w:tc>
          <w:tcPr>
            <w:tcW w:w="1011" w:type="dxa"/>
            <w:vMerge w:val="continue"/>
          </w:tcPr>
          <w:p w14:paraId="065C4CB6">
            <w:pPr>
              <w:ind w:firstLine="360"/>
              <w:jc w:val="center"/>
              <w:rPr>
                <w:sz w:val="18"/>
                <w:szCs w:val="18"/>
              </w:rPr>
            </w:pPr>
          </w:p>
        </w:tc>
        <w:tc>
          <w:tcPr>
            <w:tcW w:w="6672" w:type="dxa"/>
          </w:tcPr>
          <w:p w14:paraId="2CFA48F0">
            <w:pPr>
              <w:ind w:firstLine="360"/>
              <w:jc w:val="left"/>
              <w:rPr>
                <w:sz w:val="18"/>
                <w:szCs w:val="18"/>
              </w:rPr>
            </w:pPr>
            <w:r>
              <w:rPr>
                <w:sz w:val="18"/>
                <w:szCs w:val="18"/>
              </w:rPr>
              <w:t>因维护不及时或不当，导致严重故障</w:t>
            </w:r>
          </w:p>
        </w:tc>
        <w:tc>
          <w:tcPr>
            <w:tcW w:w="992" w:type="dxa"/>
            <w:vAlign w:val="center"/>
          </w:tcPr>
          <w:p w14:paraId="02DC74F4">
            <w:pPr>
              <w:ind w:firstLine="360"/>
              <w:jc w:val="center"/>
              <w:rPr>
                <w:sz w:val="18"/>
                <w:szCs w:val="18"/>
              </w:rPr>
            </w:pPr>
            <w:r>
              <w:rPr>
                <w:sz w:val="18"/>
                <w:szCs w:val="18"/>
              </w:rPr>
              <w:t>3</w:t>
            </w:r>
          </w:p>
        </w:tc>
      </w:tr>
      <w:tr w14:paraId="5378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4CB0C7E">
            <w:pPr>
              <w:ind w:firstLine="360"/>
              <w:jc w:val="center"/>
              <w:rPr>
                <w:sz w:val="18"/>
                <w:szCs w:val="18"/>
              </w:rPr>
            </w:pPr>
          </w:p>
        </w:tc>
        <w:tc>
          <w:tcPr>
            <w:tcW w:w="1011" w:type="dxa"/>
            <w:vMerge w:val="continue"/>
          </w:tcPr>
          <w:p w14:paraId="540AB45B">
            <w:pPr>
              <w:ind w:firstLine="360"/>
              <w:jc w:val="center"/>
              <w:rPr>
                <w:sz w:val="18"/>
                <w:szCs w:val="18"/>
              </w:rPr>
            </w:pPr>
          </w:p>
        </w:tc>
        <w:tc>
          <w:tcPr>
            <w:tcW w:w="6672" w:type="dxa"/>
          </w:tcPr>
          <w:p w14:paraId="20017AC6">
            <w:pPr>
              <w:ind w:firstLine="360"/>
              <w:jc w:val="left"/>
              <w:rPr>
                <w:sz w:val="18"/>
                <w:szCs w:val="18"/>
              </w:rPr>
            </w:pPr>
            <w:r>
              <w:rPr>
                <w:sz w:val="18"/>
                <w:szCs w:val="18"/>
              </w:rPr>
              <w:t>因维护不及时或不当，导致一般故障</w:t>
            </w:r>
          </w:p>
        </w:tc>
        <w:tc>
          <w:tcPr>
            <w:tcW w:w="992" w:type="dxa"/>
            <w:vAlign w:val="center"/>
          </w:tcPr>
          <w:p w14:paraId="20BF4734">
            <w:pPr>
              <w:ind w:firstLine="360"/>
              <w:jc w:val="center"/>
              <w:rPr>
                <w:sz w:val="18"/>
                <w:szCs w:val="18"/>
              </w:rPr>
            </w:pPr>
            <w:r>
              <w:rPr>
                <w:sz w:val="18"/>
                <w:szCs w:val="18"/>
              </w:rPr>
              <w:t>2</w:t>
            </w:r>
          </w:p>
        </w:tc>
      </w:tr>
      <w:tr w14:paraId="63FF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C37434E">
            <w:pPr>
              <w:ind w:firstLine="360"/>
              <w:jc w:val="center"/>
              <w:rPr>
                <w:sz w:val="18"/>
                <w:szCs w:val="18"/>
              </w:rPr>
            </w:pPr>
          </w:p>
        </w:tc>
        <w:tc>
          <w:tcPr>
            <w:tcW w:w="1011" w:type="dxa"/>
            <w:vMerge w:val="continue"/>
          </w:tcPr>
          <w:p w14:paraId="2B9A3366">
            <w:pPr>
              <w:ind w:firstLine="360"/>
              <w:jc w:val="center"/>
              <w:rPr>
                <w:sz w:val="18"/>
                <w:szCs w:val="18"/>
              </w:rPr>
            </w:pPr>
          </w:p>
        </w:tc>
        <w:tc>
          <w:tcPr>
            <w:tcW w:w="6672" w:type="dxa"/>
          </w:tcPr>
          <w:p w14:paraId="220E6566">
            <w:pPr>
              <w:ind w:firstLine="360"/>
              <w:jc w:val="left"/>
              <w:rPr>
                <w:sz w:val="18"/>
                <w:szCs w:val="18"/>
              </w:rPr>
            </w:pPr>
            <w:r>
              <w:rPr>
                <w:sz w:val="18"/>
                <w:szCs w:val="18"/>
              </w:rPr>
              <w:t>因功能/BUG问题导致的大面积错误或异常数据，正常</w:t>
            </w:r>
            <w:r>
              <w:rPr>
                <w:rFonts w:hint="eastAsia"/>
                <w:sz w:val="18"/>
                <w:szCs w:val="18"/>
              </w:rPr>
              <w:t>系统</w:t>
            </w:r>
            <w:r>
              <w:rPr>
                <w:sz w:val="18"/>
                <w:szCs w:val="18"/>
              </w:rPr>
              <w:t>应用造成严重影响或无法</w:t>
            </w:r>
            <w:r>
              <w:rPr>
                <w:rFonts w:hint="eastAsia"/>
                <w:sz w:val="18"/>
                <w:szCs w:val="18"/>
              </w:rPr>
              <w:t>运行</w:t>
            </w:r>
          </w:p>
        </w:tc>
        <w:tc>
          <w:tcPr>
            <w:tcW w:w="992" w:type="dxa"/>
            <w:vAlign w:val="center"/>
          </w:tcPr>
          <w:p w14:paraId="5E884175">
            <w:pPr>
              <w:ind w:firstLine="360"/>
              <w:jc w:val="center"/>
              <w:rPr>
                <w:sz w:val="18"/>
                <w:szCs w:val="18"/>
              </w:rPr>
            </w:pPr>
            <w:r>
              <w:rPr>
                <w:sz w:val="18"/>
                <w:szCs w:val="18"/>
              </w:rPr>
              <w:t>5</w:t>
            </w:r>
          </w:p>
        </w:tc>
      </w:tr>
      <w:tr w14:paraId="2BE6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71E1FC4D">
            <w:pPr>
              <w:rPr>
                <w:b/>
                <w:sz w:val="18"/>
                <w:szCs w:val="18"/>
              </w:rPr>
            </w:pPr>
            <w:r>
              <w:rPr>
                <w:b/>
                <w:sz w:val="18"/>
                <w:szCs w:val="18"/>
              </w:rPr>
              <w:t>2</w:t>
            </w:r>
          </w:p>
        </w:tc>
        <w:tc>
          <w:tcPr>
            <w:tcW w:w="1011" w:type="dxa"/>
            <w:vMerge w:val="restart"/>
            <w:vAlign w:val="center"/>
          </w:tcPr>
          <w:p w14:paraId="7F731805">
            <w:pPr>
              <w:rPr>
                <w:sz w:val="18"/>
                <w:szCs w:val="18"/>
              </w:rPr>
            </w:pPr>
            <w:r>
              <w:rPr>
                <w:sz w:val="18"/>
                <w:szCs w:val="18"/>
              </w:rPr>
              <w:t>集团考核/</w:t>
            </w:r>
          </w:p>
          <w:p w14:paraId="2AE94D14">
            <w:pPr>
              <w:rPr>
                <w:sz w:val="18"/>
                <w:szCs w:val="18"/>
              </w:rPr>
            </w:pPr>
            <w:r>
              <w:rPr>
                <w:sz w:val="18"/>
                <w:szCs w:val="18"/>
              </w:rPr>
              <w:t>服务质量</w:t>
            </w:r>
          </w:p>
        </w:tc>
        <w:tc>
          <w:tcPr>
            <w:tcW w:w="6672" w:type="dxa"/>
          </w:tcPr>
          <w:p w14:paraId="562907F1">
            <w:pPr>
              <w:ind w:firstLine="360"/>
              <w:jc w:val="left"/>
              <w:rPr>
                <w:sz w:val="18"/>
                <w:szCs w:val="18"/>
              </w:rPr>
            </w:pPr>
            <w:r>
              <w:rPr>
                <w:sz w:val="18"/>
                <w:szCs w:val="18"/>
              </w:rPr>
              <w:t>因维护不及时或不当或不准或人为错误或开发质量或开发任务未及时完成导致公司/部门扣分或集团通报</w:t>
            </w:r>
          </w:p>
        </w:tc>
        <w:tc>
          <w:tcPr>
            <w:tcW w:w="992" w:type="dxa"/>
            <w:vAlign w:val="center"/>
          </w:tcPr>
          <w:p w14:paraId="1B743713">
            <w:pPr>
              <w:ind w:firstLine="360"/>
              <w:jc w:val="center"/>
              <w:rPr>
                <w:sz w:val="18"/>
                <w:szCs w:val="18"/>
              </w:rPr>
            </w:pPr>
            <w:r>
              <w:rPr>
                <w:sz w:val="18"/>
                <w:szCs w:val="18"/>
              </w:rPr>
              <w:t>6</w:t>
            </w:r>
          </w:p>
        </w:tc>
      </w:tr>
      <w:tr w14:paraId="1BE9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75258D2">
            <w:pPr>
              <w:ind w:firstLine="360"/>
              <w:jc w:val="center"/>
              <w:rPr>
                <w:sz w:val="18"/>
                <w:szCs w:val="18"/>
              </w:rPr>
            </w:pPr>
          </w:p>
        </w:tc>
        <w:tc>
          <w:tcPr>
            <w:tcW w:w="1011" w:type="dxa"/>
            <w:vMerge w:val="continue"/>
          </w:tcPr>
          <w:p w14:paraId="0C89BD64">
            <w:pPr>
              <w:ind w:firstLine="360"/>
              <w:jc w:val="center"/>
              <w:rPr>
                <w:sz w:val="18"/>
                <w:szCs w:val="18"/>
              </w:rPr>
            </w:pPr>
          </w:p>
        </w:tc>
        <w:tc>
          <w:tcPr>
            <w:tcW w:w="6672" w:type="dxa"/>
          </w:tcPr>
          <w:p w14:paraId="62A02847">
            <w:pPr>
              <w:ind w:firstLine="360"/>
              <w:jc w:val="left"/>
              <w:rPr>
                <w:sz w:val="18"/>
                <w:szCs w:val="18"/>
              </w:rPr>
            </w:pPr>
            <w:r>
              <w:rPr>
                <w:sz w:val="18"/>
                <w:szCs w:val="18"/>
              </w:rPr>
              <w:t>对问题处理不及时或处理不当导致重大业务故障未能及时发现</w:t>
            </w:r>
          </w:p>
        </w:tc>
        <w:tc>
          <w:tcPr>
            <w:tcW w:w="992" w:type="dxa"/>
            <w:vAlign w:val="center"/>
          </w:tcPr>
          <w:p w14:paraId="060F92FC">
            <w:pPr>
              <w:ind w:firstLine="360"/>
              <w:jc w:val="center"/>
              <w:rPr>
                <w:sz w:val="18"/>
                <w:szCs w:val="18"/>
              </w:rPr>
            </w:pPr>
            <w:r>
              <w:rPr>
                <w:sz w:val="18"/>
                <w:szCs w:val="18"/>
              </w:rPr>
              <w:t>6</w:t>
            </w:r>
          </w:p>
        </w:tc>
      </w:tr>
      <w:tr w14:paraId="1F82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CE20193">
            <w:pPr>
              <w:ind w:firstLine="360"/>
              <w:jc w:val="center"/>
              <w:rPr>
                <w:sz w:val="18"/>
                <w:szCs w:val="18"/>
              </w:rPr>
            </w:pPr>
          </w:p>
        </w:tc>
        <w:tc>
          <w:tcPr>
            <w:tcW w:w="1011" w:type="dxa"/>
            <w:vMerge w:val="continue"/>
          </w:tcPr>
          <w:p w14:paraId="2E16D257">
            <w:pPr>
              <w:ind w:firstLine="360"/>
              <w:jc w:val="center"/>
              <w:rPr>
                <w:sz w:val="18"/>
                <w:szCs w:val="18"/>
              </w:rPr>
            </w:pPr>
          </w:p>
        </w:tc>
        <w:tc>
          <w:tcPr>
            <w:tcW w:w="6672" w:type="dxa"/>
          </w:tcPr>
          <w:p w14:paraId="48917689">
            <w:pPr>
              <w:ind w:firstLine="360"/>
              <w:jc w:val="left"/>
              <w:rPr>
                <w:sz w:val="18"/>
                <w:szCs w:val="18"/>
              </w:rPr>
            </w:pPr>
            <w:r>
              <w:rPr>
                <w:sz w:val="18"/>
                <w:szCs w:val="18"/>
              </w:rPr>
              <w:t>参与每周需求、维护例会，对存在问题、需求明细、解决方式、开发计划进行讨论</w:t>
            </w:r>
          </w:p>
        </w:tc>
        <w:tc>
          <w:tcPr>
            <w:tcW w:w="992" w:type="dxa"/>
            <w:vAlign w:val="center"/>
          </w:tcPr>
          <w:p w14:paraId="4CC99FF0">
            <w:pPr>
              <w:ind w:firstLine="360"/>
              <w:jc w:val="center"/>
              <w:rPr>
                <w:sz w:val="18"/>
                <w:szCs w:val="18"/>
              </w:rPr>
            </w:pPr>
            <w:r>
              <w:rPr>
                <w:sz w:val="18"/>
                <w:szCs w:val="18"/>
              </w:rPr>
              <w:t>2</w:t>
            </w:r>
          </w:p>
        </w:tc>
      </w:tr>
      <w:tr w14:paraId="2E8E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76B04F5">
            <w:pPr>
              <w:ind w:firstLine="360"/>
              <w:jc w:val="center"/>
              <w:rPr>
                <w:sz w:val="18"/>
                <w:szCs w:val="18"/>
              </w:rPr>
            </w:pPr>
          </w:p>
        </w:tc>
        <w:tc>
          <w:tcPr>
            <w:tcW w:w="1011" w:type="dxa"/>
            <w:vMerge w:val="continue"/>
          </w:tcPr>
          <w:p w14:paraId="0C8CC345">
            <w:pPr>
              <w:ind w:firstLine="360"/>
              <w:jc w:val="center"/>
              <w:rPr>
                <w:sz w:val="18"/>
                <w:szCs w:val="18"/>
              </w:rPr>
            </w:pPr>
          </w:p>
        </w:tc>
        <w:tc>
          <w:tcPr>
            <w:tcW w:w="6672" w:type="dxa"/>
          </w:tcPr>
          <w:p w14:paraId="6739ED47">
            <w:pPr>
              <w:ind w:firstLine="360"/>
              <w:jc w:val="left"/>
              <w:rPr>
                <w:sz w:val="18"/>
                <w:szCs w:val="18"/>
              </w:rPr>
            </w:pPr>
            <w:r>
              <w:rPr>
                <w:sz w:val="18"/>
                <w:szCs w:val="18"/>
              </w:rPr>
              <w:t>应保持通讯工具保持畅通，不得主观故意关闭通讯工具或拉黑名江苏有线现场工作人员导致无法联系</w:t>
            </w:r>
          </w:p>
        </w:tc>
        <w:tc>
          <w:tcPr>
            <w:tcW w:w="992" w:type="dxa"/>
            <w:vAlign w:val="center"/>
          </w:tcPr>
          <w:p w14:paraId="4C17E2BE">
            <w:pPr>
              <w:ind w:firstLine="360"/>
              <w:jc w:val="center"/>
              <w:rPr>
                <w:sz w:val="18"/>
                <w:szCs w:val="18"/>
              </w:rPr>
            </w:pPr>
            <w:r>
              <w:rPr>
                <w:sz w:val="18"/>
                <w:szCs w:val="18"/>
              </w:rPr>
              <w:t>2</w:t>
            </w:r>
          </w:p>
        </w:tc>
      </w:tr>
      <w:tr w14:paraId="7E1F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7D1F92A">
            <w:pPr>
              <w:ind w:firstLine="360"/>
              <w:jc w:val="center"/>
              <w:rPr>
                <w:sz w:val="18"/>
                <w:szCs w:val="18"/>
              </w:rPr>
            </w:pPr>
          </w:p>
        </w:tc>
        <w:tc>
          <w:tcPr>
            <w:tcW w:w="1011" w:type="dxa"/>
            <w:vMerge w:val="continue"/>
          </w:tcPr>
          <w:p w14:paraId="42CC0131">
            <w:pPr>
              <w:ind w:firstLine="360"/>
              <w:jc w:val="center"/>
              <w:rPr>
                <w:sz w:val="18"/>
                <w:szCs w:val="18"/>
              </w:rPr>
            </w:pPr>
          </w:p>
        </w:tc>
        <w:tc>
          <w:tcPr>
            <w:tcW w:w="6672" w:type="dxa"/>
          </w:tcPr>
          <w:p w14:paraId="337B32BA">
            <w:pPr>
              <w:ind w:firstLine="360"/>
              <w:jc w:val="left"/>
              <w:rPr>
                <w:sz w:val="18"/>
                <w:szCs w:val="18"/>
              </w:rPr>
            </w:pPr>
            <w:r>
              <w:rPr>
                <w:sz w:val="18"/>
                <w:szCs w:val="18"/>
              </w:rPr>
              <w:t>对于日常值班检查、稽核、告警邮件发现的问题及时进行处理</w:t>
            </w:r>
          </w:p>
        </w:tc>
        <w:tc>
          <w:tcPr>
            <w:tcW w:w="992" w:type="dxa"/>
            <w:vAlign w:val="center"/>
          </w:tcPr>
          <w:p w14:paraId="3EA41425">
            <w:pPr>
              <w:ind w:firstLine="360"/>
              <w:jc w:val="center"/>
              <w:rPr>
                <w:sz w:val="18"/>
                <w:szCs w:val="18"/>
              </w:rPr>
            </w:pPr>
            <w:r>
              <w:rPr>
                <w:sz w:val="18"/>
                <w:szCs w:val="18"/>
              </w:rPr>
              <w:t>3</w:t>
            </w:r>
          </w:p>
        </w:tc>
      </w:tr>
      <w:tr w14:paraId="430E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6BDC4E5">
            <w:pPr>
              <w:ind w:firstLine="360"/>
              <w:jc w:val="center"/>
              <w:rPr>
                <w:sz w:val="18"/>
                <w:szCs w:val="18"/>
              </w:rPr>
            </w:pPr>
          </w:p>
        </w:tc>
        <w:tc>
          <w:tcPr>
            <w:tcW w:w="1011" w:type="dxa"/>
            <w:vMerge w:val="continue"/>
          </w:tcPr>
          <w:p w14:paraId="5CBD29A5">
            <w:pPr>
              <w:ind w:firstLine="360"/>
              <w:jc w:val="center"/>
              <w:rPr>
                <w:sz w:val="18"/>
                <w:szCs w:val="18"/>
              </w:rPr>
            </w:pPr>
          </w:p>
        </w:tc>
        <w:tc>
          <w:tcPr>
            <w:tcW w:w="6672" w:type="dxa"/>
          </w:tcPr>
          <w:p w14:paraId="04FFB4BA">
            <w:pPr>
              <w:ind w:firstLine="360"/>
              <w:jc w:val="left"/>
              <w:rPr>
                <w:sz w:val="18"/>
                <w:szCs w:val="18"/>
              </w:rPr>
            </w:pPr>
            <w:r>
              <w:rPr>
                <w:sz w:val="18"/>
                <w:szCs w:val="18"/>
              </w:rPr>
              <w:t>组织资深专家（包括技术和业务方面）进行现场交流，对业务运营、信息化建设等方面协助梳理、提出建议方案，分享各地运营商的运营经验。</w:t>
            </w:r>
          </w:p>
        </w:tc>
        <w:tc>
          <w:tcPr>
            <w:tcW w:w="992" w:type="dxa"/>
            <w:vAlign w:val="center"/>
          </w:tcPr>
          <w:p w14:paraId="4AE39D0C">
            <w:pPr>
              <w:ind w:firstLine="360"/>
              <w:jc w:val="center"/>
              <w:rPr>
                <w:sz w:val="18"/>
                <w:szCs w:val="18"/>
              </w:rPr>
            </w:pPr>
            <w:r>
              <w:rPr>
                <w:sz w:val="18"/>
                <w:szCs w:val="18"/>
              </w:rPr>
              <w:t>1</w:t>
            </w:r>
          </w:p>
        </w:tc>
      </w:tr>
      <w:tr w14:paraId="5C62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B688AA6">
            <w:pPr>
              <w:ind w:firstLine="360"/>
              <w:jc w:val="center"/>
              <w:rPr>
                <w:sz w:val="18"/>
                <w:szCs w:val="18"/>
              </w:rPr>
            </w:pPr>
          </w:p>
        </w:tc>
        <w:tc>
          <w:tcPr>
            <w:tcW w:w="1011" w:type="dxa"/>
            <w:vMerge w:val="continue"/>
          </w:tcPr>
          <w:p w14:paraId="6DF0C45B">
            <w:pPr>
              <w:ind w:firstLine="360"/>
              <w:jc w:val="center"/>
              <w:rPr>
                <w:sz w:val="18"/>
                <w:szCs w:val="18"/>
              </w:rPr>
            </w:pPr>
          </w:p>
        </w:tc>
        <w:tc>
          <w:tcPr>
            <w:tcW w:w="6672" w:type="dxa"/>
          </w:tcPr>
          <w:p w14:paraId="2FCB8592">
            <w:pPr>
              <w:ind w:firstLine="360"/>
              <w:jc w:val="left"/>
              <w:rPr>
                <w:sz w:val="18"/>
                <w:szCs w:val="18"/>
              </w:rPr>
            </w:pPr>
            <w:r>
              <w:rPr>
                <w:sz w:val="18"/>
                <w:szCs w:val="18"/>
              </w:rPr>
              <w:t>定期制定业务及技术培训计划，并按照培训计划对甲方人员提供业务及技术培训及必要支持</w:t>
            </w:r>
          </w:p>
        </w:tc>
        <w:tc>
          <w:tcPr>
            <w:tcW w:w="992" w:type="dxa"/>
            <w:vAlign w:val="center"/>
          </w:tcPr>
          <w:p w14:paraId="3D154904">
            <w:pPr>
              <w:ind w:firstLine="360"/>
              <w:jc w:val="center"/>
              <w:rPr>
                <w:sz w:val="18"/>
                <w:szCs w:val="18"/>
              </w:rPr>
            </w:pPr>
            <w:r>
              <w:rPr>
                <w:sz w:val="18"/>
                <w:szCs w:val="18"/>
              </w:rPr>
              <w:t>2</w:t>
            </w:r>
          </w:p>
        </w:tc>
      </w:tr>
      <w:tr w14:paraId="5888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6ADBC2E6">
            <w:pPr>
              <w:rPr>
                <w:b/>
                <w:sz w:val="18"/>
                <w:szCs w:val="18"/>
              </w:rPr>
            </w:pPr>
            <w:r>
              <w:rPr>
                <w:b/>
                <w:sz w:val="18"/>
                <w:szCs w:val="18"/>
              </w:rPr>
              <w:t>3</w:t>
            </w:r>
          </w:p>
        </w:tc>
        <w:tc>
          <w:tcPr>
            <w:tcW w:w="1011" w:type="dxa"/>
            <w:vMerge w:val="restart"/>
            <w:vAlign w:val="center"/>
          </w:tcPr>
          <w:p w14:paraId="1224BAA6">
            <w:pPr>
              <w:rPr>
                <w:sz w:val="18"/>
                <w:szCs w:val="18"/>
              </w:rPr>
            </w:pPr>
            <w:r>
              <w:rPr>
                <w:sz w:val="18"/>
                <w:szCs w:val="18"/>
              </w:rPr>
              <w:t>需求实现度</w:t>
            </w:r>
          </w:p>
        </w:tc>
        <w:tc>
          <w:tcPr>
            <w:tcW w:w="6672" w:type="dxa"/>
          </w:tcPr>
          <w:p w14:paraId="4D89BD32">
            <w:pPr>
              <w:ind w:firstLine="360"/>
              <w:jc w:val="left"/>
              <w:rPr>
                <w:sz w:val="18"/>
                <w:szCs w:val="18"/>
              </w:rPr>
            </w:pPr>
            <w:r>
              <w:rPr>
                <w:sz w:val="18"/>
                <w:szCs w:val="18"/>
              </w:rPr>
              <w:t>对江苏有线发布的需求主动进行分析研究，确保与江苏有线需求理解保持一致</w:t>
            </w:r>
          </w:p>
        </w:tc>
        <w:tc>
          <w:tcPr>
            <w:tcW w:w="992" w:type="dxa"/>
            <w:vAlign w:val="center"/>
          </w:tcPr>
          <w:p w14:paraId="42E241AF">
            <w:pPr>
              <w:ind w:firstLine="360"/>
              <w:jc w:val="center"/>
              <w:rPr>
                <w:sz w:val="18"/>
                <w:szCs w:val="18"/>
              </w:rPr>
            </w:pPr>
            <w:r>
              <w:rPr>
                <w:sz w:val="18"/>
                <w:szCs w:val="18"/>
              </w:rPr>
              <w:t>2</w:t>
            </w:r>
          </w:p>
        </w:tc>
      </w:tr>
      <w:tr w14:paraId="61EF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20EE60A">
            <w:pPr>
              <w:ind w:firstLine="360"/>
              <w:jc w:val="center"/>
              <w:rPr>
                <w:sz w:val="18"/>
                <w:szCs w:val="18"/>
              </w:rPr>
            </w:pPr>
          </w:p>
        </w:tc>
        <w:tc>
          <w:tcPr>
            <w:tcW w:w="1011" w:type="dxa"/>
            <w:vMerge w:val="continue"/>
          </w:tcPr>
          <w:p w14:paraId="60600130">
            <w:pPr>
              <w:ind w:firstLine="360"/>
              <w:jc w:val="center"/>
              <w:rPr>
                <w:sz w:val="18"/>
                <w:szCs w:val="18"/>
              </w:rPr>
            </w:pPr>
          </w:p>
        </w:tc>
        <w:tc>
          <w:tcPr>
            <w:tcW w:w="6672" w:type="dxa"/>
          </w:tcPr>
          <w:p w14:paraId="3EE8111B">
            <w:pPr>
              <w:ind w:firstLine="360"/>
              <w:jc w:val="left"/>
              <w:rPr>
                <w:sz w:val="18"/>
                <w:szCs w:val="18"/>
              </w:rPr>
            </w:pPr>
            <w:r>
              <w:rPr>
                <w:sz w:val="18"/>
                <w:szCs w:val="18"/>
              </w:rPr>
              <w:t>对江苏有线发布的需求及时进行响应、评估，并根据给定的优先紧急程度给出开发实现排期，对无法实现的需求或出现延期的必须给出正当、合理解释</w:t>
            </w:r>
          </w:p>
        </w:tc>
        <w:tc>
          <w:tcPr>
            <w:tcW w:w="992" w:type="dxa"/>
            <w:vAlign w:val="center"/>
          </w:tcPr>
          <w:p w14:paraId="4630767C">
            <w:pPr>
              <w:ind w:firstLine="360"/>
              <w:jc w:val="center"/>
              <w:rPr>
                <w:sz w:val="18"/>
                <w:szCs w:val="18"/>
              </w:rPr>
            </w:pPr>
            <w:r>
              <w:rPr>
                <w:sz w:val="18"/>
                <w:szCs w:val="18"/>
              </w:rPr>
              <w:t>2</w:t>
            </w:r>
          </w:p>
        </w:tc>
      </w:tr>
      <w:tr w14:paraId="4E31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F4C131B">
            <w:pPr>
              <w:ind w:firstLine="360"/>
              <w:jc w:val="center"/>
              <w:rPr>
                <w:sz w:val="18"/>
                <w:szCs w:val="18"/>
              </w:rPr>
            </w:pPr>
          </w:p>
        </w:tc>
        <w:tc>
          <w:tcPr>
            <w:tcW w:w="1011" w:type="dxa"/>
            <w:vMerge w:val="continue"/>
          </w:tcPr>
          <w:p w14:paraId="63653254">
            <w:pPr>
              <w:ind w:firstLine="360"/>
              <w:jc w:val="center"/>
              <w:rPr>
                <w:sz w:val="18"/>
                <w:szCs w:val="18"/>
              </w:rPr>
            </w:pPr>
          </w:p>
        </w:tc>
        <w:tc>
          <w:tcPr>
            <w:tcW w:w="6672" w:type="dxa"/>
          </w:tcPr>
          <w:p w14:paraId="49D0CBCD">
            <w:pPr>
              <w:ind w:firstLine="360"/>
              <w:jc w:val="left"/>
              <w:rPr>
                <w:sz w:val="18"/>
                <w:szCs w:val="18"/>
              </w:rPr>
            </w:pPr>
            <w:r>
              <w:rPr>
                <w:sz w:val="18"/>
                <w:szCs w:val="18"/>
              </w:rPr>
              <w:t>按周将开发工作进展情况进行纳入周报提交江苏有线，确保开发进度在控制预期内，最终按计划完成开发。对于影响开发进度的情况及问题需及时向甲方人员做出汇报、解释</w:t>
            </w:r>
          </w:p>
        </w:tc>
        <w:tc>
          <w:tcPr>
            <w:tcW w:w="992" w:type="dxa"/>
            <w:vAlign w:val="center"/>
          </w:tcPr>
          <w:p w14:paraId="40E910DE">
            <w:pPr>
              <w:ind w:firstLine="360"/>
              <w:jc w:val="center"/>
              <w:rPr>
                <w:sz w:val="18"/>
                <w:szCs w:val="18"/>
              </w:rPr>
            </w:pPr>
            <w:r>
              <w:rPr>
                <w:sz w:val="18"/>
                <w:szCs w:val="18"/>
              </w:rPr>
              <w:t>4</w:t>
            </w:r>
          </w:p>
        </w:tc>
      </w:tr>
      <w:tr w14:paraId="1B1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4D8F6F2">
            <w:pPr>
              <w:ind w:firstLine="360"/>
              <w:jc w:val="center"/>
              <w:rPr>
                <w:sz w:val="18"/>
                <w:szCs w:val="18"/>
              </w:rPr>
            </w:pPr>
          </w:p>
        </w:tc>
        <w:tc>
          <w:tcPr>
            <w:tcW w:w="1011" w:type="dxa"/>
            <w:vMerge w:val="continue"/>
          </w:tcPr>
          <w:p w14:paraId="036D204B">
            <w:pPr>
              <w:ind w:firstLine="360"/>
              <w:jc w:val="center"/>
              <w:rPr>
                <w:sz w:val="18"/>
                <w:szCs w:val="18"/>
              </w:rPr>
            </w:pPr>
          </w:p>
        </w:tc>
        <w:tc>
          <w:tcPr>
            <w:tcW w:w="6672" w:type="dxa"/>
          </w:tcPr>
          <w:p w14:paraId="33CE3C5B">
            <w:pPr>
              <w:ind w:firstLine="360"/>
              <w:jc w:val="left"/>
              <w:rPr>
                <w:sz w:val="18"/>
                <w:szCs w:val="18"/>
              </w:rPr>
            </w:pPr>
            <w:r>
              <w:rPr>
                <w:sz w:val="18"/>
                <w:szCs w:val="18"/>
              </w:rPr>
              <w:t>保证开发质量，对于版本功能上线后出现影响功能正常使用的BUG，需及时修复，确保功能完整、可用</w:t>
            </w:r>
          </w:p>
        </w:tc>
        <w:tc>
          <w:tcPr>
            <w:tcW w:w="992" w:type="dxa"/>
            <w:vAlign w:val="center"/>
          </w:tcPr>
          <w:p w14:paraId="73E9EB02">
            <w:pPr>
              <w:ind w:firstLine="360"/>
              <w:jc w:val="center"/>
              <w:rPr>
                <w:sz w:val="18"/>
                <w:szCs w:val="18"/>
              </w:rPr>
            </w:pPr>
            <w:r>
              <w:rPr>
                <w:sz w:val="18"/>
                <w:szCs w:val="18"/>
              </w:rPr>
              <w:t>3</w:t>
            </w:r>
          </w:p>
        </w:tc>
      </w:tr>
      <w:tr w14:paraId="64B3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59316BC1">
            <w:pPr>
              <w:rPr>
                <w:sz w:val="18"/>
                <w:szCs w:val="18"/>
              </w:rPr>
            </w:pPr>
            <w:r>
              <w:rPr>
                <w:sz w:val="18"/>
                <w:szCs w:val="18"/>
              </w:rPr>
              <w:t>4</w:t>
            </w:r>
          </w:p>
        </w:tc>
        <w:tc>
          <w:tcPr>
            <w:tcW w:w="1011" w:type="dxa"/>
            <w:vMerge w:val="restart"/>
            <w:vAlign w:val="center"/>
          </w:tcPr>
          <w:p w14:paraId="52F40476">
            <w:pPr>
              <w:rPr>
                <w:sz w:val="18"/>
                <w:szCs w:val="18"/>
              </w:rPr>
            </w:pPr>
            <w:r>
              <w:rPr>
                <w:sz w:val="18"/>
                <w:szCs w:val="18"/>
              </w:rPr>
              <w:t>运维支撑</w:t>
            </w:r>
          </w:p>
        </w:tc>
        <w:tc>
          <w:tcPr>
            <w:tcW w:w="6672" w:type="dxa"/>
          </w:tcPr>
          <w:p w14:paraId="5C2716F7">
            <w:pPr>
              <w:ind w:firstLine="360"/>
              <w:jc w:val="left"/>
              <w:rPr>
                <w:sz w:val="18"/>
                <w:szCs w:val="18"/>
              </w:rPr>
            </w:pPr>
            <w:r>
              <w:rPr>
                <w:sz w:val="18"/>
                <w:szCs w:val="18"/>
              </w:rPr>
              <w:t>做好系统日常版本升级、补丁修复、版本测试、系统对接、监控大屏定制工作</w:t>
            </w:r>
          </w:p>
        </w:tc>
        <w:tc>
          <w:tcPr>
            <w:tcW w:w="992" w:type="dxa"/>
            <w:vAlign w:val="center"/>
          </w:tcPr>
          <w:p w14:paraId="323F0B48">
            <w:pPr>
              <w:ind w:firstLine="360"/>
              <w:jc w:val="center"/>
              <w:rPr>
                <w:sz w:val="18"/>
                <w:szCs w:val="18"/>
              </w:rPr>
            </w:pPr>
            <w:r>
              <w:rPr>
                <w:sz w:val="18"/>
                <w:szCs w:val="18"/>
              </w:rPr>
              <w:t>4</w:t>
            </w:r>
          </w:p>
        </w:tc>
      </w:tr>
      <w:tr w14:paraId="252A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B03E05D">
            <w:pPr>
              <w:ind w:firstLine="360"/>
              <w:jc w:val="center"/>
              <w:rPr>
                <w:sz w:val="18"/>
                <w:szCs w:val="18"/>
              </w:rPr>
            </w:pPr>
          </w:p>
        </w:tc>
        <w:tc>
          <w:tcPr>
            <w:tcW w:w="1011" w:type="dxa"/>
            <w:vMerge w:val="continue"/>
          </w:tcPr>
          <w:p w14:paraId="17B068D6">
            <w:pPr>
              <w:ind w:firstLine="360"/>
              <w:jc w:val="center"/>
              <w:rPr>
                <w:sz w:val="18"/>
                <w:szCs w:val="18"/>
              </w:rPr>
            </w:pPr>
          </w:p>
        </w:tc>
        <w:tc>
          <w:tcPr>
            <w:tcW w:w="6672" w:type="dxa"/>
          </w:tcPr>
          <w:p w14:paraId="458A7127">
            <w:pPr>
              <w:ind w:firstLine="360"/>
              <w:jc w:val="left"/>
              <w:rPr>
                <w:sz w:val="18"/>
                <w:szCs w:val="18"/>
              </w:rPr>
            </w:pPr>
            <w:r>
              <w:rPr>
                <w:sz w:val="18"/>
                <w:szCs w:val="18"/>
              </w:rPr>
              <w:t>重大节假日及重要时点提前做好系统巡检工作，安排支撑保障专班团队</w:t>
            </w:r>
          </w:p>
        </w:tc>
        <w:tc>
          <w:tcPr>
            <w:tcW w:w="992" w:type="dxa"/>
            <w:vAlign w:val="center"/>
          </w:tcPr>
          <w:p w14:paraId="6A2F837A">
            <w:pPr>
              <w:ind w:firstLine="360"/>
              <w:jc w:val="center"/>
              <w:rPr>
                <w:sz w:val="18"/>
                <w:szCs w:val="18"/>
              </w:rPr>
            </w:pPr>
            <w:r>
              <w:rPr>
                <w:sz w:val="18"/>
                <w:szCs w:val="18"/>
              </w:rPr>
              <w:t>2</w:t>
            </w:r>
          </w:p>
        </w:tc>
      </w:tr>
      <w:tr w14:paraId="1053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CA074C1">
            <w:pPr>
              <w:ind w:firstLine="360"/>
              <w:jc w:val="center"/>
              <w:rPr>
                <w:sz w:val="18"/>
                <w:szCs w:val="18"/>
              </w:rPr>
            </w:pPr>
          </w:p>
        </w:tc>
        <w:tc>
          <w:tcPr>
            <w:tcW w:w="1011" w:type="dxa"/>
            <w:vMerge w:val="continue"/>
          </w:tcPr>
          <w:p w14:paraId="18B885AF">
            <w:pPr>
              <w:ind w:firstLine="360"/>
              <w:jc w:val="center"/>
              <w:rPr>
                <w:sz w:val="18"/>
                <w:szCs w:val="18"/>
              </w:rPr>
            </w:pPr>
          </w:p>
        </w:tc>
        <w:tc>
          <w:tcPr>
            <w:tcW w:w="6672" w:type="dxa"/>
          </w:tcPr>
          <w:p w14:paraId="671057E6">
            <w:pPr>
              <w:ind w:firstLine="360"/>
              <w:jc w:val="left"/>
              <w:rPr>
                <w:sz w:val="18"/>
                <w:szCs w:val="18"/>
              </w:rPr>
            </w:pPr>
            <w:r>
              <w:rPr>
                <w:sz w:val="18"/>
                <w:szCs w:val="18"/>
              </w:rPr>
              <w:t>安排值班人员对每日问题进行解决处理，做到日清日结</w:t>
            </w:r>
          </w:p>
        </w:tc>
        <w:tc>
          <w:tcPr>
            <w:tcW w:w="992" w:type="dxa"/>
            <w:vAlign w:val="center"/>
          </w:tcPr>
          <w:p w14:paraId="0E62DB27">
            <w:pPr>
              <w:ind w:firstLine="360"/>
              <w:jc w:val="center"/>
              <w:rPr>
                <w:sz w:val="18"/>
                <w:szCs w:val="18"/>
              </w:rPr>
            </w:pPr>
            <w:r>
              <w:rPr>
                <w:sz w:val="18"/>
                <w:szCs w:val="18"/>
              </w:rPr>
              <w:t>1</w:t>
            </w:r>
          </w:p>
        </w:tc>
      </w:tr>
      <w:tr w14:paraId="3DBF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D2853B7">
            <w:pPr>
              <w:ind w:firstLine="360"/>
              <w:jc w:val="center"/>
              <w:rPr>
                <w:sz w:val="18"/>
                <w:szCs w:val="18"/>
              </w:rPr>
            </w:pPr>
          </w:p>
        </w:tc>
        <w:tc>
          <w:tcPr>
            <w:tcW w:w="1011" w:type="dxa"/>
            <w:vMerge w:val="continue"/>
          </w:tcPr>
          <w:p w14:paraId="6A1CBCDE">
            <w:pPr>
              <w:ind w:firstLine="360"/>
              <w:jc w:val="center"/>
              <w:rPr>
                <w:sz w:val="18"/>
                <w:szCs w:val="18"/>
              </w:rPr>
            </w:pPr>
          </w:p>
        </w:tc>
        <w:tc>
          <w:tcPr>
            <w:tcW w:w="6672" w:type="dxa"/>
          </w:tcPr>
          <w:p w14:paraId="050F3B01">
            <w:pPr>
              <w:ind w:firstLine="360"/>
              <w:jc w:val="left"/>
              <w:rPr>
                <w:sz w:val="18"/>
                <w:szCs w:val="18"/>
              </w:rPr>
            </w:pPr>
            <w:r>
              <w:rPr>
                <w:sz w:val="18"/>
                <w:szCs w:val="18"/>
              </w:rPr>
              <w:t>对系统层面问题进行故障定位、BUG复现，给出解决方案并及时解决</w:t>
            </w:r>
          </w:p>
        </w:tc>
        <w:tc>
          <w:tcPr>
            <w:tcW w:w="992" w:type="dxa"/>
            <w:vAlign w:val="center"/>
          </w:tcPr>
          <w:p w14:paraId="2E9DA693">
            <w:pPr>
              <w:ind w:firstLine="360"/>
              <w:jc w:val="center"/>
              <w:rPr>
                <w:sz w:val="18"/>
                <w:szCs w:val="18"/>
              </w:rPr>
            </w:pPr>
            <w:r>
              <w:rPr>
                <w:sz w:val="18"/>
                <w:szCs w:val="18"/>
              </w:rPr>
              <w:t>2</w:t>
            </w:r>
          </w:p>
        </w:tc>
      </w:tr>
      <w:tr w14:paraId="3060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A5DB108">
            <w:pPr>
              <w:ind w:firstLine="360"/>
              <w:jc w:val="center"/>
              <w:rPr>
                <w:sz w:val="18"/>
                <w:szCs w:val="18"/>
              </w:rPr>
            </w:pPr>
          </w:p>
        </w:tc>
        <w:tc>
          <w:tcPr>
            <w:tcW w:w="1011" w:type="dxa"/>
            <w:vMerge w:val="continue"/>
          </w:tcPr>
          <w:p w14:paraId="7FB8B559">
            <w:pPr>
              <w:ind w:firstLine="360"/>
              <w:jc w:val="center"/>
              <w:rPr>
                <w:sz w:val="18"/>
                <w:szCs w:val="18"/>
              </w:rPr>
            </w:pPr>
          </w:p>
        </w:tc>
        <w:tc>
          <w:tcPr>
            <w:tcW w:w="6672" w:type="dxa"/>
          </w:tcPr>
          <w:p w14:paraId="25DBEB70">
            <w:pPr>
              <w:ind w:firstLine="360"/>
              <w:jc w:val="left"/>
              <w:rPr>
                <w:sz w:val="18"/>
                <w:szCs w:val="18"/>
              </w:rPr>
            </w:pPr>
            <w:r>
              <w:rPr>
                <w:sz w:val="18"/>
                <w:szCs w:val="18"/>
              </w:rPr>
              <w:t>出现1个一般问题处理超过24小时（工作时间）未答复或者故障工单超时</w:t>
            </w:r>
          </w:p>
        </w:tc>
        <w:tc>
          <w:tcPr>
            <w:tcW w:w="992" w:type="dxa"/>
            <w:vAlign w:val="center"/>
          </w:tcPr>
          <w:p w14:paraId="3487546F">
            <w:pPr>
              <w:ind w:firstLine="360"/>
              <w:jc w:val="center"/>
              <w:rPr>
                <w:sz w:val="18"/>
                <w:szCs w:val="18"/>
              </w:rPr>
            </w:pPr>
            <w:r>
              <w:rPr>
                <w:sz w:val="18"/>
                <w:szCs w:val="18"/>
              </w:rPr>
              <w:t>2</w:t>
            </w:r>
          </w:p>
        </w:tc>
      </w:tr>
      <w:tr w14:paraId="126E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2BC6296">
            <w:pPr>
              <w:ind w:firstLine="360"/>
              <w:jc w:val="center"/>
              <w:rPr>
                <w:sz w:val="18"/>
                <w:szCs w:val="18"/>
              </w:rPr>
            </w:pPr>
          </w:p>
        </w:tc>
        <w:tc>
          <w:tcPr>
            <w:tcW w:w="1011" w:type="dxa"/>
            <w:vMerge w:val="continue"/>
          </w:tcPr>
          <w:p w14:paraId="1AC19598">
            <w:pPr>
              <w:ind w:firstLine="360"/>
              <w:jc w:val="center"/>
              <w:rPr>
                <w:sz w:val="18"/>
                <w:szCs w:val="18"/>
              </w:rPr>
            </w:pPr>
          </w:p>
        </w:tc>
        <w:tc>
          <w:tcPr>
            <w:tcW w:w="6672" w:type="dxa"/>
          </w:tcPr>
          <w:p w14:paraId="3EBD6995">
            <w:pPr>
              <w:ind w:firstLine="360"/>
              <w:jc w:val="left"/>
              <w:rPr>
                <w:sz w:val="18"/>
                <w:szCs w:val="18"/>
              </w:rPr>
            </w:pPr>
            <w:r>
              <w:rPr>
                <w:sz w:val="18"/>
                <w:szCs w:val="18"/>
              </w:rPr>
              <w:t>相同类型问题在商定期限内未及时解决导致反复出现</w:t>
            </w:r>
          </w:p>
        </w:tc>
        <w:tc>
          <w:tcPr>
            <w:tcW w:w="992" w:type="dxa"/>
            <w:vAlign w:val="center"/>
          </w:tcPr>
          <w:p w14:paraId="6E131973">
            <w:pPr>
              <w:ind w:firstLine="360"/>
              <w:jc w:val="center"/>
              <w:rPr>
                <w:sz w:val="18"/>
                <w:szCs w:val="18"/>
              </w:rPr>
            </w:pPr>
            <w:r>
              <w:rPr>
                <w:sz w:val="18"/>
                <w:szCs w:val="18"/>
              </w:rPr>
              <w:t>4</w:t>
            </w:r>
          </w:p>
        </w:tc>
      </w:tr>
      <w:tr w14:paraId="3049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D21A3A9">
            <w:pPr>
              <w:ind w:firstLine="360"/>
              <w:jc w:val="center"/>
              <w:rPr>
                <w:sz w:val="18"/>
                <w:szCs w:val="18"/>
              </w:rPr>
            </w:pPr>
          </w:p>
        </w:tc>
        <w:tc>
          <w:tcPr>
            <w:tcW w:w="1011" w:type="dxa"/>
            <w:vMerge w:val="continue"/>
          </w:tcPr>
          <w:p w14:paraId="0F5AB074">
            <w:pPr>
              <w:ind w:firstLine="360"/>
              <w:jc w:val="center"/>
              <w:rPr>
                <w:sz w:val="18"/>
                <w:szCs w:val="18"/>
              </w:rPr>
            </w:pPr>
          </w:p>
        </w:tc>
        <w:tc>
          <w:tcPr>
            <w:tcW w:w="6672" w:type="dxa"/>
          </w:tcPr>
          <w:p w14:paraId="27448AD7">
            <w:pPr>
              <w:ind w:firstLine="360"/>
              <w:jc w:val="left"/>
              <w:rPr>
                <w:sz w:val="18"/>
                <w:szCs w:val="18"/>
              </w:rPr>
            </w:pPr>
            <w:r>
              <w:rPr>
                <w:sz w:val="18"/>
                <w:szCs w:val="18"/>
              </w:rPr>
              <w:t>因人员操作失误导致严重故障，造成严重影响</w:t>
            </w:r>
          </w:p>
        </w:tc>
        <w:tc>
          <w:tcPr>
            <w:tcW w:w="992" w:type="dxa"/>
            <w:vAlign w:val="center"/>
          </w:tcPr>
          <w:p w14:paraId="23D72E90">
            <w:pPr>
              <w:ind w:firstLine="360"/>
              <w:jc w:val="center"/>
              <w:rPr>
                <w:sz w:val="18"/>
                <w:szCs w:val="18"/>
              </w:rPr>
            </w:pPr>
            <w:r>
              <w:rPr>
                <w:sz w:val="18"/>
                <w:szCs w:val="18"/>
              </w:rPr>
              <w:t>2</w:t>
            </w:r>
          </w:p>
        </w:tc>
      </w:tr>
      <w:tr w14:paraId="4211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01D32F5">
            <w:pPr>
              <w:ind w:firstLine="360"/>
              <w:jc w:val="center"/>
              <w:rPr>
                <w:sz w:val="18"/>
                <w:szCs w:val="18"/>
              </w:rPr>
            </w:pPr>
          </w:p>
        </w:tc>
        <w:tc>
          <w:tcPr>
            <w:tcW w:w="1011" w:type="dxa"/>
            <w:vMerge w:val="continue"/>
          </w:tcPr>
          <w:p w14:paraId="5382B735">
            <w:pPr>
              <w:ind w:firstLine="360"/>
              <w:jc w:val="center"/>
              <w:rPr>
                <w:sz w:val="18"/>
                <w:szCs w:val="18"/>
              </w:rPr>
            </w:pPr>
          </w:p>
        </w:tc>
        <w:tc>
          <w:tcPr>
            <w:tcW w:w="6672" w:type="dxa"/>
          </w:tcPr>
          <w:p w14:paraId="054D7170">
            <w:pPr>
              <w:ind w:firstLine="360"/>
              <w:jc w:val="left"/>
              <w:rPr>
                <w:sz w:val="18"/>
                <w:szCs w:val="18"/>
              </w:rPr>
            </w:pPr>
            <w:r>
              <w:rPr>
                <w:sz w:val="18"/>
                <w:szCs w:val="18"/>
              </w:rPr>
              <w:t>对异常错误数据主动进行事前稽核预警以及事后批量修复</w:t>
            </w:r>
          </w:p>
        </w:tc>
        <w:tc>
          <w:tcPr>
            <w:tcW w:w="992" w:type="dxa"/>
            <w:vAlign w:val="center"/>
          </w:tcPr>
          <w:p w14:paraId="13587384">
            <w:pPr>
              <w:ind w:firstLine="360"/>
              <w:jc w:val="center"/>
              <w:rPr>
                <w:sz w:val="18"/>
                <w:szCs w:val="18"/>
              </w:rPr>
            </w:pPr>
            <w:r>
              <w:rPr>
                <w:sz w:val="18"/>
                <w:szCs w:val="18"/>
              </w:rPr>
              <w:t>3</w:t>
            </w:r>
          </w:p>
        </w:tc>
      </w:tr>
      <w:tr w14:paraId="7DE5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2273848">
            <w:pPr>
              <w:ind w:firstLine="360"/>
              <w:jc w:val="center"/>
              <w:rPr>
                <w:sz w:val="18"/>
                <w:szCs w:val="18"/>
              </w:rPr>
            </w:pPr>
          </w:p>
        </w:tc>
        <w:tc>
          <w:tcPr>
            <w:tcW w:w="1011" w:type="dxa"/>
            <w:vMerge w:val="continue"/>
          </w:tcPr>
          <w:p w14:paraId="48AFFE77">
            <w:pPr>
              <w:ind w:firstLine="360"/>
              <w:jc w:val="center"/>
              <w:rPr>
                <w:sz w:val="18"/>
                <w:szCs w:val="18"/>
              </w:rPr>
            </w:pPr>
          </w:p>
        </w:tc>
        <w:tc>
          <w:tcPr>
            <w:tcW w:w="6672" w:type="dxa"/>
          </w:tcPr>
          <w:p w14:paraId="5B8E5FB7">
            <w:pPr>
              <w:ind w:firstLine="360"/>
              <w:jc w:val="left"/>
              <w:rPr>
                <w:sz w:val="18"/>
                <w:szCs w:val="18"/>
              </w:rPr>
            </w:pPr>
            <w:r>
              <w:rPr>
                <w:sz w:val="18"/>
                <w:szCs w:val="18"/>
              </w:rPr>
              <w:t>当数据库、外部系统、硬件服务器、中间件进行维修、升级时，需同步做好配合保障工作</w:t>
            </w:r>
          </w:p>
        </w:tc>
        <w:tc>
          <w:tcPr>
            <w:tcW w:w="992" w:type="dxa"/>
            <w:vAlign w:val="center"/>
          </w:tcPr>
          <w:p w14:paraId="3F879977">
            <w:pPr>
              <w:ind w:firstLine="360"/>
              <w:jc w:val="center"/>
              <w:rPr>
                <w:sz w:val="18"/>
                <w:szCs w:val="18"/>
              </w:rPr>
            </w:pPr>
            <w:r>
              <w:rPr>
                <w:sz w:val="18"/>
                <w:szCs w:val="18"/>
              </w:rPr>
              <w:t>2</w:t>
            </w:r>
          </w:p>
        </w:tc>
      </w:tr>
      <w:tr w14:paraId="61F5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B962907">
            <w:pPr>
              <w:ind w:firstLine="360"/>
              <w:jc w:val="center"/>
              <w:rPr>
                <w:sz w:val="18"/>
                <w:szCs w:val="18"/>
              </w:rPr>
            </w:pPr>
          </w:p>
        </w:tc>
        <w:tc>
          <w:tcPr>
            <w:tcW w:w="1011" w:type="dxa"/>
            <w:vMerge w:val="continue"/>
          </w:tcPr>
          <w:p w14:paraId="29ECE8B7">
            <w:pPr>
              <w:ind w:firstLine="360"/>
              <w:jc w:val="center"/>
              <w:rPr>
                <w:sz w:val="18"/>
                <w:szCs w:val="18"/>
              </w:rPr>
            </w:pPr>
          </w:p>
        </w:tc>
        <w:tc>
          <w:tcPr>
            <w:tcW w:w="6672" w:type="dxa"/>
          </w:tcPr>
          <w:p w14:paraId="118AB453">
            <w:pPr>
              <w:ind w:firstLine="360"/>
              <w:jc w:val="left"/>
              <w:rPr>
                <w:sz w:val="18"/>
                <w:szCs w:val="18"/>
              </w:rPr>
            </w:pPr>
            <w:r>
              <w:rPr>
                <w:sz w:val="18"/>
                <w:szCs w:val="18"/>
              </w:rPr>
              <w:t>对于日常支撑问题现场团队确定首问负责人，负责问题的人员协调、问题处理、进度跟踪。</w:t>
            </w:r>
          </w:p>
        </w:tc>
        <w:tc>
          <w:tcPr>
            <w:tcW w:w="992" w:type="dxa"/>
            <w:vAlign w:val="center"/>
          </w:tcPr>
          <w:p w14:paraId="03CC45FA">
            <w:pPr>
              <w:ind w:firstLine="360"/>
              <w:jc w:val="center"/>
              <w:rPr>
                <w:sz w:val="18"/>
                <w:szCs w:val="18"/>
              </w:rPr>
            </w:pPr>
            <w:r>
              <w:rPr>
                <w:sz w:val="18"/>
                <w:szCs w:val="18"/>
              </w:rPr>
              <w:t>2</w:t>
            </w:r>
          </w:p>
        </w:tc>
      </w:tr>
      <w:tr w14:paraId="1AFD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5A84ED3D">
            <w:pPr>
              <w:rPr>
                <w:sz w:val="18"/>
                <w:szCs w:val="18"/>
              </w:rPr>
            </w:pPr>
            <w:r>
              <w:rPr>
                <w:sz w:val="18"/>
                <w:szCs w:val="18"/>
              </w:rPr>
              <w:t>5</w:t>
            </w:r>
          </w:p>
        </w:tc>
        <w:tc>
          <w:tcPr>
            <w:tcW w:w="1011" w:type="dxa"/>
            <w:vMerge w:val="restart"/>
            <w:vAlign w:val="center"/>
          </w:tcPr>
          <w:p w14:paraId="4CC7AEB7">
            <w:pPr>
              <w:rPr>
                <w:sz w:val="18"/>
                <w:szCs w:val="18"/>
              </w:rPr>
            </w:pPr>
            <w:r>
              <w:rPr>
                <w:sz w:val="18"/>
                <w:szCs w:val="18"/>
              </w:rPr>
              <w:t>文档更新</w:t>
            </w:r>
          </w:p>
          <w:p w14:paraId="7558E6D2">
            <w:pPr>
              <w:rPr>
                <w:sz w:val="18"/>
                <w:szCs w:val="18"/>
              </w:rPr>
            </w:pPr>
            <w:r>
              <w:rPr>
                <w:sz w:val="18"/>
                <w:szCs w:val="18"/>
              </w:rPr>
              <w:t>完善</w:t>
            </w:r>
          </w:p>
        </w:tc>
        <w:tc>
          <w:tcPr>
            <w:tcW w:w="6672" w:type="dxa"/>
          </w:tcPr>
          <w:p w14:paraId="5648BE62">
            <w:pPr>
              <w:ind w:firstLine="360"/>
              <w:jc w:val="left"/>
              <w:rPr>
                <w:sz w:val="18"/>
                <w:szCs w:val="18"/>
              </w:rPr>
            </w:pPr>
            <w:r>
              <w:rPr>
                <w:sz w:val="18"/>
                <w:szCs w:val="18"/>
              </w:rPr>
              <w:t>对新功能建设、流程改造、版本升级做好文档的编写及完善，包括但不限于需求文档、概要/详细设计文档、部署文档、操作手册、测试文档、接口规范、解决方案、项目验收材料、项目周报、必要的统计SQL等</w:t>
            </w:r>
          </w:p>
        </w:tc>
        <w:tc>
          <w:tcPr>
            <w:tcW w:w="992" w:type="dxa"/>
            <w:vAlign w:val="center"/>
          </w:tcPr>
          <w:p w14:paraId="2A5E6891">
            <w:pPr>
              <w:ind w:firstLine="360"/>
              <w:jc w:val="center"/>
              <w:rPr>
                <w:sz w:val="18"/>
                <w:szCs w:val="18"/>
              </w:rPr>
            </w:pPr>
            <w:r>
              <w:rPr>
                <w:sz w:val="18"/>
                <w:szCs w:val="18"/>
              </w:rPr>
              <w:t>2</w:t>
            </w:r>
          </w:p>
        </w:tc>
      </w:tr>
      <w:tr w14:paraId="68A1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10C0401">
            <w:pPr>
              <w:ind w:firstLine="360"/>
              <w:jc w:val="center"/>
              <w:rPr>
                <w:sz w:val="18"/>
                <w:szCs w:val="18"/>
              </w:rPr>
            </w:pPr>
          </w:p>
        </w:tc>
        <w:tc>
          <w:tcPr>
            <w:tcW w:w="1011" w:type="dxa"/>
            <w:vMerge w:val="continue"/>
          </w:tcPr>
          <w:p w14:paraId="783F4986">
            <w:pPr>
              <w:ind w:firstLine="360"/>
              <w:jc w:val="center"/>
              <w:rPr>
                <w:sz w:val="18"/>
                <w:szCs w:val="18"/>
              </w:rPr>
            </w:pPr>
          </w:p>
        </w:tc>
        <w:tc>
          <w:tcPr>
            <w:tcW w:w="6672" w:type="dxa"/>
          </w:tcPr>
          <w:p w14:paraId="298548BB">
            <w:pPr>
              <w:ind w:firstLine="360"/>
              <w:jc w:val="left"/>
              <w:rPr>
                <w:sz w:val="18"/>
                <w:szCs w:val="18"/>
              </w:rPr>
            </w:pPr>
            <w:r>
              <w:rPr>
                <w:sz w:val="18"/>
                <w:szCs w:val="18"/>
              </w:rPr>
              <w:t>对于当前工作、下期计划按周向甲方提交项目周报</w:t>
            </w:r>
          </w:p>
        </w:tc>
        <w:tc>
          <w:tcPr>
            <w:tcW w:w="992" w:type="dxa"/>
            <w:vAlign w:val="center"/>
          </w:tcPr>
          <w:p w14:paraId="44848413">
            <w:pPr>
              <w:ind w:firstLine="360"/>
              <w:jc w:val="center"/>
              <w:rPr>
                <w:sz w:val="18"/>
                <w:szCs w:val="18"/>
              </w:rPr>
            </w:pPr>
            <w:r>
              <w:rPr>
                <w:sz w:val="18"/>
                <w:szCs w:val="18"/>
              </w:rPr>
              <w:t>1</w:t>
            </w:r>
          </w:p>
        </w:tc>
      </w:tr>
      <w:tr w14:paraId="2348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5C55C48">
            <w:pPr>
              <w:ind w:firstLine="360"/>
              <w:jc w:val="center"/>
              <w:rPr>
                <w:sz w:val="18"/>
                <w:szCs w:val="18"/>
              </w:rPr>
            </w:pPr>
          </w:p>
        </w:tc>
        <w:tc>
          <w:tcPr>
            <w:tcW w:w="1011" w:type="dxa"/>
            <w:vMerge w:val="continue"/>
          </w:tcPr>
          <w:p w14:paraId="3CFB440E">
            <w:pPr>
              <w:ind w:firstLine="360"/>
              <w:jc w:val="center"/>
              <w:rPr>
                <w:sz w:val="18"/>
                <w:szCs w:val="18"/>
              </w:rPr>
            </w:pPr>
          </w:p>
        </w:tc>
        <w:tc>
          <w:tcPr>
            <w:tcW w:w="6672" w:type="dxa"/>
          </w:tcPr>
          <w:p w14:paraId="6805A4B5">
            <w:pPr>
              <w:ind w:firstLine="360"/>
              <w:jc w:val="left"/>
              <w:rPr>
                <w:sz w:val="18"/>
                <w:szCs w:val="18"/>
              </w:rPr>
            </w:pPr>
            <w:r>
              <w:rPr>
                <w:sz w:val="18"/>
                <w:szCs w:val="18"/>
              </w:rPr>
              <w:t>维护系统操作、故障处理知识库，对于短期无法解决或克服的重复故障事件处理办法录入维护知识库或及时整理提供告警规则</w:t>
            </w:r>
          </w:p>
        </w:tc>
        <w:tc>
          <w:tcPr>
            <w:tcW w:w="992" w:type="dxa"/>
            <w:vAlign w:val="center"/>
          </w:tcPr>
          <w:p w14:paraId="282DD2F7">
            <w:pPr>
              <w:ind w:firstLine="360"/>
              <w:jc w:val="center"/>
              <w:rPr>
                <w:sz w:val="18"/>
                <w:szCs w:val="18"/>
              </w:rPr>
            </w:pPr>
            <w:r>
              <w:rPr>
                <w:sz w:val="18"/>
                <w:szCs w:val="18"/>
              </w:rPr>
              <w:t>2</w:t>
            </w:r>
          </w:p>
        </w:tc>
      </w:tr>
      <w:tr w14:paraId="6E34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7696FD27">
            <w:pPr>
              <w:rPr>
                <w:sz w:val="18"/>
                <w:szCs w:val="18"/>
              </w:rPr>
            </w:pPr>
            <w:r>
              <w:rPr>
                <w:sz w:val="18"/>
                <w:szCs w:val="18"/>
              </w:rPr>
              <w:t>6</w:t>
            </w:r>
          </w:p>
        </w:tc>
        <w:tc>
          <w:tcPr>
            <w:tcW w:w="1011" w:type="dxa"/>
            <w:vMerge w:val="restart"/>
            <w:vAlign w:val="center"/>
          </w:tcPr>
          <w:p w14:paraId="608C7D11">
            <w:pPr>
              <w:rPr>
                <w:sz w:val="18"/>
                <w:szCs w:val="18"/>
              </w:rPr>
            </w:pPr>
            <w:r>
              <w:rPr>
                <w:sz w:val="18"/>
                <w:szCs w:val="18"/>
              </w:rPr>
              <w:t>驻场人员</w:t>
            </w:r>
          </w:p>
          <w:p w14:paraId="0D1D1110">
            <w:pPr>
              <w:rPr>
                <w:sz w:val="18"/>
                <w:szCs w:val="18"/>
              </w:rPr>
            </w:pPr>
            <w:r>
              <w:rPr>
                <w:sz w:val="18"/>
                <w:szCs w:val="18"/>
              </w:rPr>
              <w:t>管理</w:t>
            </w:r>
          </w:p>
        </w:tc>
        <w:tc>
          <w:tcPr>
            <w:tcW w:w="6672" w:type="dxa"/>
          </w:tcPr>
          <w:p w14:paraId="04621295">
            <w:pPr>
              <w:ind w:firstLine="360"/>
              <w:jc w:val="left"/>
              <w:rPr>
                <w:sz w:val="18"/>
                <w:szCs w:val="18"/>
              </w:rPr>
            </w:pPr>
            <w:r>
              <w:rPr>
                <w:sz w:val="18"/>
                <w:szCs w:val="18"/>
              </w:rPr>
              <w:t>驻场人员数量、资质、社保满足项目合同要求，有明确分工含项目经理、需求组、开发组、运维组、测试组，禁止与其他项目进行人员复用</w:t>
            </w:r>
          </w:p>
        </w:tc>
        <w:tc>
          <w:tcPr>
            <w:tcW w:w="992" w:type="dxa"/>
            <w:vAlign w:val="center"/>
          </w:tcPr>
          <w:p w14:paraId="459B88E2">
            <w:pPr>
              <w:ind w:firstLine="360"/>
              <w:jc w:val="center"/>
              <w:rPr>
                <w:sz w:val="18"/>
                <w:szCs w:val="18"/>
              </w:rPr>
            </w:pPr>
            <w:r>
              <w:rPr>
                <w:sz w:val="18"/>
                <w:szCs w:val="18"/>
              </w:rPr>
              <w:t>3</w:t>
            </w:r>
          </w:p>
        </w:tc>
      </w:tr>
      <w:tr w14:paraId="00F0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0E53E90">
            <w:pPr>
              <w:ind w:firstLine="360"/>
              <w:jc w:val="center"/>
              <w:rPr>
                <w:sz w:val="18"/>
                <w:szCs w:val="18"/>
              </w:rPr>
            </w:pPr>
          </w:p>
        </w:tc>
        <w:tc>
          <w:tcPr>
            <w:tcW w:w="1011" w:type="dxa"/>
            <w:vMerge w:val="continue"/>
          </w:tcPr>
          <w:p w14:paraId="4D530D75">
            <w:pPr>
              <w:ind w:firstLine="360"/>
              <w:jc w:val="left"/>
              <w:rPr>
                <w:sz w:val="18"/>
                <w:szCs w:val="18"/>
              </w:rPr>
            </w:pPr>
          </w:p>
        </w:tc>
        <w:tc>
          <w:tcPr>
            <w:tcW w:w="6672" w:type="dxa"/>
          </w:tcPr>
          <w:p w14:paraId="17DCE014">
            <w:pPr>
              <w:ind w:firstLine="360"/>
              <w:jc w:val="left"/>
              <w:rPr>
                <w:sz w:val="18"/>
                <w:szCs w:val="18"/>
              </w:rPr>
            </w:pPr>
            <w:r>
              <w:rPr>
                <w:sz w:val="18"/>
                <w:szCs w:val="18"/>
              </w:rPr>
              <w:t>驻场人员必须具有连续性，如果中间需要变更服务人员，需要提前1个月通知江苏有线</w:t>
            </w:r>
            <w:r>
              <w:rPr>
                <w:rFonts w:hint="eastAsia"/>
                <w:sz w:val="18"/>
                <w:szCs w:val="18"/>
              </w:rPr>
              <w:t>（替换人员的资质、经验、学历等与本技术规范书保持一致）</w:t>
            </w:r>
            <w:r>
              <w:rPr>
                <w:sz w:val="18"/>
                <w:szCs w:val="18"/>
              </w:rPr>
              <w:t>，核心人员必须提供1月的过渡时间</w:t>
            </w:r>
          </w:p>
        </w:tc>
        <w:tc>
          <w:tcPr>
            <w:tcW w:w="992" w:type="dxa"/>
            <w:vAlign w:val="center"/>
          </w:tcPr>
          <w:p w14:paraId="49867BC0">
            <w:pPr>
              <w:ind w:firstLine="360"/>
              <w:jc w:val="center"/>
              <w:rPr>
                <w:sz w:val="18"/>
                <w:szCs w:val="18"/>
              </w:rPr>
            </w:pPr>
            <w:r>
              <w:rPr>
                <w:sz w:val="18"/>
                <w:szCs w:val="18"/>
              </w:rPr>
              <w:t>3</w:t>
            </w:r>
          </w:p>
        </w:tc>
      </w:tr>
      <w:tr w14:paraId="0A5E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C39EA7C">
            <w:pPr>
              <w:ind w:firstLine="360"/>
              <w:jc w:val="center"/>
              <w:rPr>
                <w:sz w:val="18"/>
                <w:szCs w:val="18"/>
              </w:rPr>
            </w:pPr>
          </w:p>
        </w:tc>
        <w:tc>
          <w:tcPr>
            <w:tcW w:w="1011" w:type="dxa"/>
            <w:vMerge w:val="continue"/>
          </w:tcPr>
          <w:p w14:paraId="737139A2">
            <w:pPr>
              <w:ind w:firstLine="360"/>
              <w:jc w:val="center"/>
              <w:rPr>
                <w:sz w:val="18"/>
                <w:szCs w:val="18"/>
              </w:rPr>
            </w:pPr>
          </w:p>
        </w:tc>
        <w:tc>
          <w:tcPr>
            <w:tcW w:w="6672" w:type="dxa"/>
          </w:tcPr>
          <w:p w14:paraId="1A9E1461">
            <w:pPr>
              <w:ind w:firstLine="360"/>
              <w:jc w:val="left"/>
              <w:rPr>
                <w:sz w:val="18"/>
                <w:szCs w:val="18"/>
              </w:rPr>
            </w:pPr>
            <w:r>
              <w:rPr>
                <w:sz w:val="18"/>
                <w:szCs w:val="18"/>
              </w:rPr>
              <w:t>在服务期内，驻场人员变更不能超过20%</w:t>
            </w:r>
          </w:p>
        </w:tc>
        <w:tc>
          <w:tcPr>
            <w:tcW w:w="992" w:type="dxa"/>
            <w:vAlign w:val="center"/>
          </w:tcPr>
          <w:p w14:paraId="14ED79EF">
            <w:pPr>
              <w:ind w:firstLine="360"/>
              <w:jc w:val="center"/>
              <w:rPr>
                <w:sz w:val="18"/>
                <w:szCs w:val="18"/>
              </w:rPr>
            </w:pPr>
            <w:r>
              <w:rPr>
                <w:sz w:val="18"/>
                <w:szCs w:val="18"/>
              </w:rPr>
              <w:t>3</w:t>
            </w:r>
          </w:p>
        </w:tc>
      </w:tr>
      <w:tr w14:paraId="3686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9B8018D">
            <w:pPr>
              <w:ind w:firstLine="360"/>
              <w:jc w:val="center"/>
              <w:rPr>
                <w:sz w:val="18"/>
                <w:szCs w:val="18"/>
              </w:rPr>
            </w:pPr>
          </w:p>
        </w:tc>
        <w:tc>
          <w:tcPr>
            <w:tcW w:w="1011" w:type="dxa"/>
            <w:vMerge w:val="continue"/>
          </w:tcPr>
          <w:p w14:paraId="53864BF1">
            <w:pPr>
              <w:ind w:firstLine="360"/>
              <w:jc w:val="center"/>
              <w:rPr>
                <w:sz w:val="18"/>
                <w:szCs w:val="18"/>
              </w:rPr>
            </w:pPr>
          </w:p>
        </w:tc>
        <w:tc>
          <w:tcPr>
            <w:tcW w:w="6672" w:type="dxa"/>
          </w:tcPr>
          <w:p w14:paraId="6AE557C8">
            <w:pPr>
              <w:ind w:firstLine="360"/>
              <w:jc w:val="left"/>
              <w:rPr>
                <w:sz w:val="18"/>
                <w:szCs w:val="18"/>
              </w:rPr>
            </w:pPr>
            <w:r>
              <w:rPr>
                <w:sz w:val="18"/>
                <w:szCs w:val="18"/>
              </w:rPr>
              <w:t>驻场人员需严格遵守江苏有线现场管理规定及相关安全规范，禁止违反信息保密、安全协议</w:t>
            </w:r>
          </w:p>
        </w:tc>
        <w:tc>
          <w:tcPr>
            <w:tcW w:w="992" w:type="dxa"/>
            <w:vAlign w:val="center"/>
          </w:tcPr>
          <w:p w14:paraId="22E2FD36">
            <w:pPr>
              <w:ind w:firstLine="360"/>
              <w:jc w:val="center"/>
              <w:rPr>
                <w:sz w:val="18"/>
                <w:szCs w:val="18"/>
              </w:rPr>
            </w:pPr>
            <w:r>
              <w:rPr>
                <w:sz w:val="18"/>
                <w:szCs w:val="18"/>
              </w:rPr>
              <w:t>6</w:t>
            </w:r>
          </w:p>
        </w:tc>
      </w:tr>
      <w:tr w14:paraId="0701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99ADA5F">
            <w:pPr>
              <w:ind w:firstLine="360"/>
              <w:jc w:val="center"/>
              <w:rPr>
                <w:sz w:val="18"/>
                <w:szCs w:val="18"/>
              </w:rPr>
            </w:pPr>
          </w:p>
        </w:tc>
        <w:tc>
          <w:tcPr>
            <w:tcW w:w="1011" w:type="dxa"/>
            <w:vMerge w:val="continue"/>
          </w:tcPr>
          <w:p w14:paraId="7E48BF65">
            <w:pPr>
              <w:ind w:firstLine="360"/>
              <w:jc w:val="center"/>
              <w:rPr>
                <w:sz w:val="18"/>
                <w:szCs w:val="18"/>
              </w:rPr>
            </w:pPr>
          </w:p>
        </w:tc>
        <w:tc>
          <w:tcPr>
            <w:tcW w:w="6672" w:type="dxa"/>
          </w:tcPr>
          <w:p w14:paraId="4C3CED9E">
            <w:pPr>
              <w:ind w:firstLine="360"/>
              <w:jc w:val="left"/>
              <w:rPr>
                <w:sz w:val="18"/>
                <w:szCs w:val="18"/>
              </w:rPr>
            </w:pPr>
            <w:r>
              <w:rPr>
                <w:sz w:val="18"/>
                <w:szCs w:val="18"/>
              </w:rPr>
              <w:t>按照规定要求进行值班、每日签到，无正常理由不得迟到早退、事假需提前通知甲方，在现场不从事和工作无关事宜</w:t>
            </w:r>
          </w:p>
        </w:tc>
        <w:tc>
          <w:tcPr>
            <w:tcW w:w="992" w:type="dxa"/>
            <w:vAlign w:val="center"/>
          </w:tcPr>
          <w:p w14:paraId="37B5D97A">
            <w:pPr>
              <w:ind w:firstLine="360"/>
              <w:jc w:val="center"/>
              <w:rPr>
                <w:sz w:val="18"/>
                <w:szCs w:val="18"/>
              </w:rPr>
            </w:pPr>
            <w:r>
              <w:rPr>
                <w:sz w:val="18"/>
                <w:szCs w:val="18"/>
              </w:rPr>
              <w:t>1</w:t>
            </w:r>
          </w:p>
        </w:tc>
      </w:tr>
    </w:tbl>
    <w:p w14:paraId="0A90B6A0">
      <w:pPr>
        <w:pStyle w:val="21"/>
      </w:pPr>
      <w:r>
        <w:br w:type="page"/>
      </w:r>
    </w:p>
    <w:p w14:paraId="73D8A654">
      <w:pPr>
        <w:pStyle w:val="21"/>
      </w:pPr>
    </w:p>
    <w:p w14:paraId="47694B58">
      <w:pPr>
        <w:spacing w:line="300" w:lineRule="auto"/>
        <w:ind w:firstLine="5280" w:firstLineChars="2400"/>
        <w:rPr>
          <w:sz w:val="22"/>
          <w:szCs w:val="22"/>
        </w:rPr>
      </w:pPr>
    </w:p>
    <w:p w14:paraId="0C028ABF">
      <w:pPr>
        <w:pStyle w:val="2"/>
        <w:numPr>
          <w:ilvl w:val="0"/>
          <w:numId w:val="0"/>
        </w:numPr>
        <w:spacing w:before="0" w:after="0" w:line="360" w:lineRule="auto"/>
        <w:rPr>
          <w:b/>
          <w:sz w:val="36"/>
          <w:szCs w:val="36"/>
        </w:rPr>
      </w:pPr>
      <w:bookmarkStart w:id="41" w:name="_Toc69378637"/>
      <w:r>
        <w:rPr>
          <w:rFonts w:hint="eastAsia"/>
          <w:b/>
          <w:sz w:val="36"/>
          <w:szCs w:val="36"/>
        </w:rPr>
        <w:t>第五章技术需求书</w:t>
      </w:r>
      <w:bookmarkEnd w:id="41"/>
    </w:p>
    <w:p w14:paraId="4DAF1865">
      <w:pPr>
        <w:spacing w:line="360" w:lineRule="auto"/>
        <w:rPr>
          <w:rFonts w:ascii="宋体" w:hAnsi="宋体"/>
          <w:b/>
          <w:bCs/>
          <w:sz w:val="22"/>
          <w:szCs w:val="22"/>
        </w:rPr>
      </w:pPr>
      <w:r>
        <w:rPr>
          <w:rFonts w:hint="eastAsia" w:ascii="宋体" w:hAnsi="宋体"/>
          <w:b/>
          <w:bCs/>
          <w:sz w:val="22"/>
          <w:szCs w:val="22"/>
        </w:rPr>
        <w:t>说明：</w:t>
      </w:r>
    </w:p>
    <w:p w14:paraId="280A4488">
      <w:pPr>
        <w:spacing w:line="360" w:lineRule="auto"/>
        <w:ind w:firstLine="420" w:firstLineChars="200"/>
        <w:rPr>
          <w:rFonts w:ascii="宋体" w:hAnsi="宋体"/>
          <w:szCs w:val="21"/>
        </w:rPr>
      </w:pPr>
      <w:r>
        <w:rPr>
          <w:rFonts w:hint="eastAsia" w:ascii="宋体" w:hAnsi="宋体"/>
          <w:szCs w:val="21"/>
        </w:rPr>
        <w:t>1、</w:t>
      </w:r>
      <w:r>
        <w:rPr>
          <w:rFonts w:hint="eastAsia"/>
          <w:color w:val="000000"/>
          <w:szCs w:val="21"/>
        </w:rPr>
        <w:t>供应商</w:t>
      </w:r>
      <w:r>
        <w:rPr>
          <w:rFonts w:hint="eastAsia" w:ascii="宋体" w:hAnsi="宋体"/>
          <w:szCs w:val="21"/>
        </w:rPr>
        <w:t>须对照本《技术需求书》，依据</w:t>
      </w:r>
      <w:r>
        <w:rPr>
          <w:rFonts w:hint="eastAsia"/>
          <w:color w:val="000000"/>
          <w:szCs w:val="21"/>
        </w:rPr>
        <w:t>供应商</w:t>
      </w:r>
      <w:r>
        <w:rPr>
          <w:rFonts w:hint="eastAsia" w:ascii="宋体" w:hAnsi="宋体"/>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szCs w:val="21"/>
        </w:rPr>
        <w:t>在合同</w:t>
      </w:r>
      <w:r>
        <w:rPr>
          <w:rFonts w:hint="eastAsia" w:ascii="宋体" w:hAnsi="宋体"/>
          <w:szCs w:val="21"/>
        </w:rPr>
        <w:t>签订</w:t>
      </w:r>
      <w:r>
        <w:rPr>
          <w:rFonts w:ascii="宋体" w:hAnsi="宋体"/>
          <w:szCs w:val="21"/>
        </w:rPr>
        <w:t>中的任何偏差都不得超越</w:t>
      </w:r>
      <w:r>
        <w:rPr>
          <w:rFonts w:hint="eastAsia" w:ascii="宋体" w:hAnsi="宋体"/>
          <w:szCs w:val="21"/>
        </w:rPr>
        <w:t>技术</w:t>
      </w:r>
      <w:r>
        <w:rPr>
          <w:rFonts w:ascii="宋体" w:hAnsi="宋体"/>
          <w:szCs w:val="21"/>
        </w:rPr>
        <w:t>偏</w:t>
      </w:r>
      <w:r>
        <w:rPr>
          <w:rFonts w:hint="eastAsia" w:ascii="宋体" w:hAnsi="宋体"/>
          <w:szCs w:val="21"/>
        </w:rPr>
        <w:t>离</w:t>
      </w:r>
      <w:r>
        <w:rPr>
          <w:rFonts w:ascii="宋体" w:hAnsi="宋体"/>
          <w:szCs w:val="21"/>
        </w:rPr>
        <w:t>表中已被</w:t>
      </w:r>
      <w:r>
        <w:rPr>
          <w:rFonts w:hint="eastAsia" w:ascii="宋体" w:hAnsi="宋体"/>
          <w:szCs w:val="21"/>
        </w:rPr>
        <w:t>采购</w:t>
      </w:r>
      <w:r>
        <w:rPr>
          <w:rFonts w:ascii="宋体" w:hAnsi="宋体"/>
          <w:szCs w:val="21"/>
        </w:rPr>
        <w:t>人确认的条款。</w:t>
      </w:r>
    </w:p>
    <w:p w14:paraId="600E6891">
      <w:pPr>
        <w:spacing w:line="360" w:lineRule="auto"/>
        <w:ind w:firstLine="420" w:firstLineChars="200"/>
        <w:rPr>
          <w:rFonts w:ascii="宋体" w:hAnsi="宋体"/>
          <w:szCs w:val="21"/>
        </w:rPr>
      </w:pPr>
      <w:r>
        <w:rPr>
          <w:rFonts w:hint="eastAsia" w:ascii="宋体" w:hAnsi="宋体"/>
          <w:szCs w:val="21"/>
        </w:rPr>
        <w:t>2、采购文件技术要求中所描述的内容为本项目的基本技术要求，</w:t>
      </w:r>
      <w:r>
        <w:rPr>
          <w:rFonts w:ascii="宋体" w:hAnsi="宋体"/>
          <w:szCs w:val="21"/>
        </w:rPr>
        <w:t>不应作为完整的详细要求。</w:t>
      </w:r>
      <w:r>
        <w:rPr>
          <w:rFonts w:hint="eastAsia" w:ascii="宋体" w:hAnsi="宋体"/>
          <w:szCs w:val="21"/>
        </w:rPr>
        <w:t>对于为满足正常运行所需的设备材料的供应、安装、调试、验收及质量保证的内容请供应商自行考虑。供应商</w:t>
      </w:r>
      <w:r>
        <w:rPr>
          <w:rFonts w:ascii="宋体" w:hAnsi="宋体"/>
          <w:szCs w:val="21"/>
        </w:rPr>
        <w:t>应满足本技术</w:t>
      </w:r>
      <w:r>
        <w:rPr>
          <w:rFonts w:hint="eastAsia" w:ascii="宋体" w:hAnsi="宋体"/>
          <w:szCs w:val="21"/>
        </w:rPr>
        <w:t>需求书</w:t>
      </w:r>
      <w:r>
        <w:rPr>
          <w:rFonts w:ascii="宋体" w:hAnsi="宋体"/>
          <w:szCs w:val="21"/>
        </w:rPr>
        <w:t>中未描述的，但为保证设备能正常有效运行所需要的其它要求和所需的设备与附件。</w:t>
      </w:r>
    </w:p>
    <w:p w14:paraId="2820C66A">
      <w:pPr>
        <w:spacing w:line="360" w:lineRule="auto"/>
        <w:ind w:firstLine="420" w:firstLineChars="200"/>
        <w:rPr>
          <w:rFonts w:ascii="宋体" w:hAnsi="宋体"/>
          <w:szCs w:val="21"/>
        </w:rPr>
      </w:pPr>
      <w:r>
        <w:rPr>
          <w:rFonts w:hint="eastAsia" w:ascii="宋体" w:hAnsi="宋体"/>
          <w:szCs w:val="21"/>
        </w:rPr>
        <w:t>3、技术需求书中</w:t>
      </w:r>
      <w:r>
        <w:rPr>
          <w:rFonts w:ascii="宋体" w:hAnsi="宋体"/>
          <w:szCs w:val="21"/>
        </w:rPr>
        <w:t>带</w:t>
      </w:r>
      <w:r>
        <w:rPr>
          <w:rFonts w:hint="eastAsia" w:ascii="宋体" w:hAnsi="宋体"/>
          <w:szCs w:val="21"/>
        </w:rPr>
        <w:t>“★”部分为</w:t>
      </w:r>
      <w:r>
        <w:rPr>
          <w:rFonts w:ascii="宋体" w:hAnsi="宋体"/>
          <w:szCs w:val="21"/>
        </w:rPr>
        <w:t>必须保证满足要求</w:t>
      </w:r>
      <w:r>
        <w:rPr>
          <w:rFonts w:hint="eastAsia" w:ascii="宋体" w:hAnsi="宋体"/>
          <w:szCs w:val="21"/>
        </w:rPr>
        <w:t>的条款。</w:t>
      </w:r>
    </w:p>
    <w:p w14:paraId="58CBED4A">
      <w:pPr>
        <w:spacing w:line="360" w:lineRule="auto"/>
        <w:ind w:firstLine="420" w:firstLineChars="200"/>
        <w:rPr>
          <w:rFonts w:ascii="宋体" w:hAnsi="宋体"/>
          <w:szCs w:val="21"/>
        </w:rPr>
      </w:pPr>
      <w:r>
        <w:rPr>
          <w:rFonts w:hint="eastAsia" w:ascii="宋体" w:hAnsi="宋体"/>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14:paraId="7F1ED750">
      <w:pPr>
        <w:rPr>
          <w:rFonts w:ascii="黑体" w:eastAsia="黑体"/>
          <w:b/>
          <w:sz w:val="37"/>
        </w:rPr>
      </w:pPr>
      <w:r>
        <w:rPr>
          <w:rFonts w:hint="eastAsia" w:ascii="黑体" w:eastAsia="黑体"/>
          <w:b/>
          <w:sz w:val="37"/>
        </w:rPr>
        <w:br w:type="page"/>
      </w:r>
    </w:p>
    <w:p w14:paraId="14114529">
      <w:pPr>
        <w:spacing w:line="360" w:lineRule="auto"/>
        <w:jc w:val="center"/>
        <w:rPr>
          <w:rFonts w:ascii="宋体" w:hAnsi="宋体"/>
          <w:szCs w:val="21"/>
        </w:rPr>
      </w:pPr>
      <w:r>
        <w:rPr>
          <w:rFonts w:hint="eastAsia" w:ascii="黑体" w:eastAsia="黑体"/>
          <w:b/>
          <w:sz w:val="37"/>
        </w:rPr>
        <w:t>技术需求书</w:t>
      </w:r>
    </w:p>
    <w:p w14:paraId="10863DE0">
      <w:pPr>
        <w:spacing w:line="360" w:lineRule="auto"/>
        <w:outlineLvl w:val="0"/>
        <w:rPr>
          <w:rFonts w:ascii="宋体" w:hAnsi="宋体" w:cs="宋体"/>
          <w:b/>
          <w:szCs w:val="21"/>
        </w:rPr>
      </w:pPr>
      <w:r>
        <w:rPr>
          <w:rFonts w:hint="eastAsia" w:ascii="宋体" w:hAnsi="宋体" w:cs="宋体"/>
          <w:b/>
          <w:szCs w:val="21"/>
        </w:rPr>
        <w:t>一、综述</w:t>
      </w:r>
    </w:p>
    <w:p w14:paraId="2342C4A0">
      <w:pPr>
        <w:spacing w:line="360" w:lineRule="auto"/>
        <w:outlineLvl w:val="1"/>
        <w:rPr>
          <w:rFonts w:ascii="宋体" w:hAnsi="宋体" w:cs="宋体"/>
          <w:b/>
          <w:bCs/>
          <w:szCs w:val="21"/>
        </w:rPr>
      </w:pPr>
      <w:r>
        <w:rPr>
          <w:rFonts w:hint="eastAsia" w:ascii="宋体" w:hAnsi="宋体" w:cs="宋体"/>
          <w:b/>
          <w:bCs/>
          <w:szCs w:val="21"/>
        </w:rPr>
        <w:t>1、说明</w:t>
      </w:r>
    </w:p>
    <w:p w14:paraId="50432602">
      <w:pPr>
        <w:pStyle w:val="368"/>
        <w:ind w:firstLine="0"/>
        <w:rPr>
          <w:rFonts w:cs="宋体"/>
        </w:rPr>
      </w:pPr>
      <w:r>
        <w:rPr>
          <w:rFonts w:hint="eastAsia" w:cs="宋体"/>
        </w:rPr>
        <w:t>1）</w:t>
      </w:r>
      <w:r>
        <w:rPr>
          <w:rFonts w:hint="eastAsia" w:cs="宋体"/>
        </w:rPr>
        <w:tab/>
      </w:r>
      <w:r>
        <w:rPr>
          <w:rFonts w:hint="eastAsia" w:cs="宋体"/>
        </w:rPr>
        <w:t>本技术需求书为</w:t>
      </w:r>
      <w:r>
        <w:rPr>
          <w:rFonts w:hint="eastAsia" w:cs="宋体"/>
          <w:b/>
          <w:bCs/>
          <w:u w:val="single"/>
        </w:rPr>
        <w:t>“O域系统适老化改造”</w:t>
      </w:r>
      <w:r>
        <w:rPr>
          <w:rFonts w:hint="eastAsia" w:cs="宋体"/>
        </w:rPr>
        <w:t>项目中日志审计系统主要技术要求和供货要求，响应文件的技术部分内容响应格式应符合本采购文件的要求。</w:t>
      </w:r>
    </w:p>
    <w:p w14:paraId="67D8CB48">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本技术需求书应视为扩容部分机器人资源及接口运行的最低要求。如有遗漏，供应商应予以补充，否则一旦中标将认为供应商认同遗漏部分并免费提供。</w:t>
      </w:r>
    </w:p>
    <w:p w14:paraId="4C6C0F56">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采购人在任何时候都保留和拥有对本技术需求书的解释权。</w:t>
      </w:r>
    </w:p>
    <w:bookmarkEnd w:id="14"/>
    <w:bookmarkEnd w:id="15"/>
    <w:bookmarkEnd w:id="16"/>
    <w:p w14:paraId="7981FCD0">
      <w:pPr>
        <w:spacing w:line="360" w:lineRule="auto"/>
        <w:outlineLvl w:val="0"/>
        <w:rPr>
          <w:rFonts w:ascii="宋体" w:hAnsi="宋体" w:cs="宋体"/>
          <w:b/>
          <w:szCs w:val="21"/>
        </w:rPr>
      </w:pPr>
      <w:bookmarkStart w:id="42" w:name="_Toc512356033"/>
      <w:bookmarkStart w:id="43" w:name="_Toc454971823"/>
      <w:bookmarkStart w:id="44" w:name="_Toc69378657"/>
      <w:bookmarkStart w:id="45" w:name="_Toc502914229"/>
      <w:r>
        <w:rPr>
          <w:rFonts w:hint="eastAsia" w:ascii="宋体" w:hAnsi="宋体" w:cs="宋体"/>
          <w:b/>
          <w:szCs w:val="21"/>
        </w:rPr>
        <w:t>二、技术要求</w:t>
      </w:r>
      <w:bookmarkEnd w:id="42"/>
      <w:bookmarkEnd w:id="43"/>
    </w:p>
    <w:p w14:paraId="3410F251">
      <w:pPr>
        <w:pStyle w:val="21"/>
        <w:tabs>
          <w:tab w:val="left" w:pos="1080"/>
          <w:tab w:val="left" w:pos="1560"/>
        </w:tabs>
        <w:rPr>
          <w:rFonts w:ascii="宋体" w:hAnsi="宋体" w:cs="宋体"/>
          <w:sz w:val="21"/>
          <w:szCs w:val="21"/>
        </w:rPr>
      </w:pPr>
      <w:r>
        <w:rPr>
          <w:rFonts w:hint="eastAsia" w:ascii="宋体" w:hAnsi="宋体" w:cs="宋体"/>
          <w:sz w:val="21"/>
          <w:szCs w:val="21"/>
        </w:rPr>
        <w:t>★本项目主要采购内容如下：</w:t>
      </w:r>
    </w:p>
    <w:tbl>
      <w:tblPr>
        <w:tblStyle w:val="53"/>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64"/>
        <w:gridCol w:w="2522"/>
        <w:gridCol w:w="993"/>
      </w:tblGrid>
      <w:tr w14:paraId="1F4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 w:type="dxa"/>
          </w:tcPr>
          <w:p w14:paraId="02115611">
            <w:r>
              <w:rPr>
                <w:rFonts w:hint="eastAsia"/>
              </w:rPr>
              <w:t>序号</w:t>
            </w:r>
          </w:p>
        </w:tc>
        <w:tc>
          <w:tcPr>
            <w:tcW w:w="2564" w:type="dxa"/>
          </w:tcPr>
          <w:p w14:paraId="1C03022E">
            <w:r>
              <w:rPr>
                <w:rFonts w:hint="eastAsia"/>
              </w:rPr>
              <w:t>产品名称</w:t>
            </w:r>
          </w:p>
        </w:tc>
        <w:tc>
          <w:tcPr>
            <w:tcW w:w="2522" w:type="dxa"/>
          </w:tcPr>
          <w:p w14:paraId="6E50FAFE">
            <w:r>
              <w:rPr>
                <w:rFonts w:hint="eastAsia"/>
              </w:rPr>
              <w:t>数量</w:t>
            </w:r>
          </w:p>
        </w:tc>
        <w:tc>
          <w:tcPr>
            <w:tcW w:w="993" w:type="dxa"/>
          </w:tcPr>
          <w:p w14:paraId="4F338008">
            <w:r>
              <w:rPr>
                <w:rFonts w:hint="eastAsia"/>
              </w:rPr>
              <w:t>单位</w:t>
            </w:r>
          </w:p>
        </w:tc>
      </w:tr>
      <w:tr w14:paraId="07DB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tcPr>
          <w:p w14:paraId="0E1957BF">
            <w:r>
              <w:rPr>
                <w:rFonts w:hint="eastAsia"/>
              </w:rPr>
              <w:t>1</w:t>
            </w:r>
          </w:p>
        </w:tc>
        <w:tc>
          <w:tcPr>
            <w:tcW w:w="2564" w:type="dxa"/>
          </w:tcPr>
          <w:p w14:paraId="30FBE4C2">
            <w:r>
              <w:rPr>
                <w:rFonts w:hint="eastAsia"/>
              </w:rPr>
              <w:t>O域系统适老化改造项目</w:t>
            </w:r>
          </w:p>
        </w:tc>
        <w:tc>
          <w:tcPr>
            <w:tcW w:w="2522" w:type="dxa"/>
          </w:tcPr>
          <w:p w14:paraId="28B06166">
            <w:r>
              <w:rPr>
                <w:rFonts w:hint="eastAsia"/>
              </w:rPr>
              <w:t>1</w:t>
            </w:r>
          </w:p>
        </w:tc>
        <w:tc>
          <w:tcPr>
            <w:tcW w:w="993" w:type="dxa"/>
          </w:tcPr>
          <w:p w14:paraId="6DD94B01">
            <w:r>
              <w:rPr>
                <w:rFonts w:hint="eastAsia"/>
              </w:rPr>
              <w:t>套</w:t>
            </w:r>
          </w:p>
        </w:tc>
      </w:tr>
    </w:tbl>
    <w:p w14:paraId="19000932">
      <w:pPr>
        <w:spacing w:line="360" w:lineRule="auto"/>
        <w:rPr>
          <w:rFonts w:ascii="宋体" w:hAnsi="宋体" w:cs="宋体"/>
          <w:b/>
          <w:bCs/>
          <w:szCs w:val="21"/>
        </w:rPr>
      </w:pPr>
      <w:r>
        <w:rPr>
          <w:rFonts w:ascii="宋体" w:hAnsi="宋体" w:cs="宋体"/>
          <w:szCs w:val="21"/>
        </w:rPr>
        <w:t>★</w:t>
      </w:r>
      <w:r>
        <w:rPr>
          <w:rFonts w:hint="eastAsia" w:ascii="宋体" w:hAnsi="宋体" w:cs="宋体"/>
          <w:b/>
          <w:bCs/>
          <w:szCs w:val="21"/>
        </w:rPr>
        <w:t>1、总体需求</w:t>
      </w:r>
    </w:p>
    <w:p w14:paraId="338BF94E">
      <w:pPr>
        <w:pStyle w:val="368"/>
        <w:ind w:firstLine="0"/>
        <w:rPr>
          <w:rFonts w:cs="宋体"/>
        </w:rPr>
      </w:pPr>
      <w:r>
        <w:rPr>
          <w:rFonts w:hint="eastAsia" w:cs="宋体"/>
        </w:rPr>
        <w:t>1）</w:t>
      </w:r>
      <w:r>
        <w:rPr>
          <w:rFonts w:cs="宋体"/>
        </w:rPr>
        <w:tab/>
      </w:r>
      <w:r>
        <w:rPr>
          <w:rFonts w:hint="eastAsia" w:cs="宋体"/>
        </w:rPr>
        <w:t>需求调研与分析</w:t>
      </w:r>
    </w:p>
    <w:p w14:paraId="16CFC572">
      <w:pPr>
        <w:adjustRightInd w:val="0"/>
        <w:spacing w:line="360" w:lineRule="auto"/>
        <w:rPr>
          <w:kern w:val="0"/>
          <w:szCs w:val="21"/>
        </w:rPr>
      </w:pPr>
      <w:r>
        <w:rPr>
          <w:rFonts w:hint="eastAsia"/>
          <w:kern w:val="0"/>
          <w:szCs w:val="21"/>
        </w:rPr>
        <w:t>投标人需了解江苏有线电子渠道已有系统业务功能逻辑和接口相关要求，确保适老化改造在继承系统原有业务功能的基础上升级改造。</w:t>
      </w:r>
    </w:p>
    <w:p w14:paraId="42C4AE61">
      <w:pPr>
        <w:adjustRightInd w:val="0"/>
        <w:spacing w:line="360" w:lineRule="auto"/>
        <w:rPr>
          <w:kern w:val="0"/>
          <w:szCs w:val="21"/>
        </w:rPr>
      </w:pPr>
      <w:r>
        <w:rPr>
          <w:rFonts w:hint="eastAsia"/>
          <w:kern w:val="0"/>
          <w:szCs w:val="21"/>
        </w:rPr>
        <w:t>2)</w:t>
      </w:r>
      <w:r>
        <w:rPr>
          <w:kern w:val="0"/>
          <w:szCs w:val="21"/>
        </w:rPr>
        <w:tab/>
      </w:r>
      <w:r>
        <w:rPr>
          <w:rFonts w:hint="eastAsia"/>
          <w:kern w:val="0"/>
          <w:szCs w:val="21"/>
        </w:rPr>
        <w:t>资源可扩展性</w:t>
      </w:r>
    </w:p>
    <w:p w14:paraId="4C19E084">
      <w:pPr>
        <w:adjustRightInd w:val="0"/>
        <w:spacing w:line="360" w:lineRule="auto"/>
        <w:rPr>
          <w:kern w:val="0"/>
          <w:szCs w:val="21"/>
        </w:rPr>
      </w:pPr>
      <w:r>
        <w:rPr>
          <w:kern w:val="0"/>
          <w:szCs w:val="21"/>
        </w:rPr>
        <w:t>支持多个层面的可扩展性，通过负载平衡、快速开发/重组、业务参数配置等多个方面使得系统可以支持江苏有线未来不断变化的业务特征。</w:t>
      </w:r>
    </w:p>
    <w:p w14:paraId="62488C61">
      <w:pPr>
        <w:adjustRightInd w:val="0"/>
        <w:spacing w:line="360" w:lineRule="auto"/>
        <w:rPr>
          <w:kern w:val="0"/>
          <w:szCs w:val="21"/>
        </w:rPr>
      </w:pPr>
      <w:r>
        <w:rPr>
          <w:rFonts w:hint="eastAsia"/>
          <w:kern w:val="0"/>
          <w:szCs w:val="21"/>
        </w:rPr>
        <w:t>3）</w:t>
      </w:r>
      <w:r>
        <w:rPr>
          <w:kern w:val="0"/>
          <w:szCs w:val="21"/>
        </w:rPr>
        <w:tab/>
      </w:r>
      <w:r>
        <w:rPr>
          <w:rFonts w:hint="eastAsia"/>
          <w:kern w:val="0"/>
          <w:szCs w:val="21"/>
        </w:rPr>
        <w:t>安全性和可靠性</w:t>
      </w:r>
    </w:p>
    <w:p w14:paraId="52449A82">
      <w:pPr>
        <w:adjustRightInd w:val="0"/>
        <w:spacing w:line="360" w:lineRule="auto"/>
        <w:rPr>
          <w:kern w:val="0"/>
          <w:szCs w:val="21"/>
        </w:rPr>
      </w:pPr>
      <w:r>
        <w:rPr>
          <w:rFonts w:hint="eastAsia"/>
          <w:kern w:val="0"/>
          <w:szCs w:val="21"/>
        </w:rPr>
        <w:t>系统改造及接口，皆须可配合系统</w:t>
      </w:r>
      <w:r>
        <w:rPr>
          <w:kern w:val="0"/>
          <w:szCs w:val="21"/>
        </w:rPr>
        <w:t>安全策略和可靠性策略。</w:t>
      </w:r>
    </w:p>
    <w:p w14:paraId="0D61030C">
      <w:pPr>
        <w:adjustRightInd w:val="0"/>
        <w:spacing w:line="360" w:lineRule="auto"/>
        <w:rPr>
          <w:kern w:val="0"/>
          <w:szCs w:val="21"/>
        </w:rPr>
      </w:pPr>
      <w:r>
        <w:rPr>
          <w:rFonts w:hint="eastAsia"/>
          <w:kern w:val="0"/>
          <w:szCs w:val="21"/>
        </w:rPr>
        <w:t>4）</w:t>
      </w:r>
      <w:r>
        <w:rPr>
          <w:kern w:val="0"/>
          <w:szCs w:val="21"/>
        </w:rPr>
        <w:tab/>
      </w:r>
      <w:r>
        <w:rPr>
          <w:kern w:val="0"/>
          <w:szCs w:val="21"/>
        </w:rPr>
        <w:t>系统</w:t>
      </w:r>
      <w:r>
        <w:rPr>
          <w:rFonts w:hint="eastAsia"/>
          <w:kern w:val="0"/>
          <w:szCs w:val="21"/>
        </w:rPr>
        <w:t>可测试性要求</w:t>
      </w:r>
    </w:p>
    <w:p w14:paraId="24F4A712">
      <w:pPr>
        <w:adjustRightInd w:val="0"/>
        <w:spacing w:line="360" w:lineRule="auto"/>
        <w:rPr>
          <w:kern w:val="0"/>
          <w:szCs w:val="21"/>
        </w:rPr>
      </w:pPr>
      <w:r>
        <w:rPr>
          <w:kern w:val="0"/>
          <w:szCs w:val="21"/>
        </w:rPr>
        <w:t>随</w:t>
      </w:r>
      <w:r>
        <w:rPr>
          <w:rFonts w:hint="eastAsia"/>
          <w:kern w:val="0"/>
          <w:szCs w:val="21"/>
        </w:rPr>
        <w:t>改造内容及接口</w:t>
      </w:r>
      <w:r>
        <w:rPr>
          <w:kern w:val="0"/>
          <w:szCs w:val="21"/>
        </w:rPr>
        <w:t>提交的技术文件必须明确标识出所实现的可度量的功能和性能指标。</w:t>
      </w:r>
    </w:p>
    <w:p w14:paraId="5CE1085E">
      <w:pPr>
        <w:adjustRightInd w:val="0"/>
        <w:spacing w:line="360" w:lineRule="auto"/>
        <w:rPr>
          <w:kern w:val="0"/>
          <w:szCs w:val="21"/>
        </w:rPr>
      </w:pPr>
      <w:r>
        <w:rPr>
          <w:kern w:val="0"/>
          <w:szCs w:val="21"/>
        </w:rPr>
        <w:t>投标人应有固定的测试工程师进行专门的测试工作，每次新功能测试完成后，应提供详细的测试文档，包括测试的用例、方法及其结果等，交付</w:t>
      </w:r>
      <w:r>
        <w:rPr>
          <w:rFonts w:hint="eastAsia"/>
          <w:kern w:val="0"/>
          <w:szCs w:val="21"/>
        </w:rPr>
        <w:t>甲</w:t>
      </w:r>
      <w:r>
        <w:rPr>
          <w:kern w:val="0"/>
          <w:szCs w:val="21"/>
        </w:rPr>
        <w:t>方人员作验收测试。测试结果应符合实际，测试未通过的项目应及时反馈并进行修改</w:t>
      </w:r>
      <w:r>
        <w:rPr>
          <w:rFonts w:hint="eastAsia"/>
          <w:kern w:val="0"/>
          <w:szCs w:val="21"/>
        </w:rPr>
        <w:t>。</w:t>
      </w:r>
    </w:p>
    <w:p w14:paraId="61FD8792">
      <w:pPr>
        <w:adjustRightInd w:val="0"/>
        <w:spacing w:line="360" w:lineRule="auto"/>
        <w:rPr>
          <w:kern w:val="0"/>
          <w:szCs w:val="21"/>
        </w:rPr>
      </w:pPr>
      <w:r>
        <w:rPr>
          <w:rFonts w:hint="eastAsia"/>
          <w:kern w:val="0"/>
          <w:szCs w:val="21"/>
        </w:rPr>
        <w:t>5）</w:t>
      </w:r>
      <w:r>
        <w:rPr>
          <w:kern w:val="0"/>
          <w:szCs w:val="21"/>
        </w:rPr>
        <w:tab/>
      </w:r>
      <w:r>
        <w:rPr>
          <w:kern w:val="0"/>
          <w:szCs w:val="21"/>
        </w:rPr>
        <w:t>系统可靠性要求</w:t>
      </w:r>
    </w:p>
    <w:p w14:paraId="40877129">
      <w:pPr>
        <w:adjustRightInd w:val="0"/>
        <w:spacing w:line="360" w:lineRule="auto"/>
        <w:rPr>
          <w:kern w:val="0"/>
          <w:szCs w:val="21"/>
        </w:rPr>
      </w:pPr>
      <w:r>
        <w:rPr>
          <w:rFonts w:hint="eastAsia"/>
          <w:kern w:val="0"/>
          <w:szCs w:val="21"/>
        </w:rPr>
        <w:t>扩容资源支持</w:t>
      </w:r>
      <w:r>
        <w:rPr>
          <w:kern w:val="0"/>
          <w:szCs w:val="21"/>
        </w:rPr>
        <w:t>7×24小时不间断工作。</w:t>
      </w:r>
    </w:p>
    <w:p w14:paraId="5153D144">
      <w:pPr>
        <w:adjustRightInd w:val="0"/>
        <w:spacing w:line="360" w:lineRule="auto"/>
        <w:rPr>
          <w:kern w:val="0"/>
          <w:szCs w:val="21"/>
        </w:rPr>
      </w:pPr>
      <w:r>
        <w:rPr>
          <w:rFonts w:hint="eastAsia"/>
          <w:kern w:val="0"/>
          <w:szCs w:val="21"/>
        </w:rPr>
        <w:t>资源池</w:t>
      </w:r>
      <w:r>
        <w:rPr>
          <w:kern w:val="0"/>
          <w:szCs w:val="21"/>
        </w:rPr>
        <w:t>每月不超过2小时的计划内停机。</w:t>
      </w:r>
    </w:p>
    <w:p w14:paraId="23243AF5">
      <w:pPr>
        <w:adjustRightInd w:val="0"/>
        <w:spacing w:line="360" w:lineRule="auto"/>
        <w:rPr>
          <w:kern w:val="0"/>
          <w:szCs w:val="21"/>
        </w:rPr>
      </w:pPr>
      <w:r>
        <w:rPr>
          <w:kern w:val="0"/>
          <w:szCs w:val="21"/>
        </w:rPr>
        <w:t>故障间隔时间应大于1000小时。</w:t>
      </w:r>
    </w:p>
    <w:p w14:paraId="1C5780D8">
      <w:pPr>
        <w:adjustRightInd w:val="0"/>
        <w:spacing w:line="360" w:lineRule="auto"/>
        <w:rPr>
          <w:kern w:val="0"/>
          <w:szCs w:val="21"/>
        </w:rPr>
      </w:pPr>
      <w:r>
        <w:rPr>
          <w:kern w:val="0"/>
          <w:szCs w:val="21"/>
        </w:rPr>
        <w:t>以集群或者主备的方式保证系统可靠稳定运行，避免单点故障。</w:t>
      </w:r>
    </w:p>
    <w:p w14:paraId="6C1CE9C2">
      <w:pPr>
        <w:adjustRightInd w:val="0"/>
        <w:spacing w:line="360" w:lineRule="auto"/>
      </w:pPr>
      <w:r>
        <w:rPr>
          <w:rFonts w:hint="eastAsia"/>
          <w:kern w:val="0"/>
          <w:szCs w:val="21"/>
        </w:rPr>
        <w:t>资源池</w:t>
      </w:r>
      <w:r>
        <w:rPr>
          <w:kern w:val="0"/>
          <w:szCs w:val="21"/>
        </w:rPr>
        <w:t>可用率大于99.9%</w:t>
      </w:r>
      <w:r>
        <w:rPr>
          <w:rFonts w:hint="eastAsia"/>
          <w:kern w:val="0"/>
          <w:szCs w:val="21"/>
        </w:rPr>
        <w:t>（全天</w:t>
      </w:r>
      <w:r>
        <w:rPr>
          <w:kern w:val="0"/>
          <w:szCs w:val="21"/>
        </w:rPr>
        <w:t>24</w:t>
      </w:r>
      <w:r>
        <w:rPr>
          <w:rFonts w:hint="eastAsia"/>
          <w:kern w:val="0"/>
          <w:szCs w:val="21"/>
        </w:rPr>
        <w:t>小时）</w:t>
      </w:r>
      <w:r>
        <w:rPr>
          <w:kern w:val="0"/>
          <w:szCs w:val="21"/>
        </w:rPr>
        <w:t>。</w:t>
      </w:r>
    </w:p>
    <w:p w14:paraId="7D84B727">
      <w:pPr>
        <w:spacing w:line="360" w:lineRule="auto"/>
        <w:outlineLvl w:val="0"/>
        <w:rPr>
          <w:rFonts w:ascii="宋体" w:hAnsi="宋体" w:cs="宋体"/>
          <w:b/>
          <w:szCs w:val="21"/>
        </w:rPr>
      </w:pPr>
      <w:r>
        <w:rPr>
          <w:rFonts w:hint="eastAsia" w:ascii="宋体" w:hAnsi="宋体" w:cs="宋体"/>
          <w:b/>
          <w:szCs w:val="21"/>
        </w:rPr>
        <w:t>三、功能要求</w:t>
      </w:r>
    </w:p>
    <w:p w14:paraId="7E196B25">
      <w:pPr>
        <w:pStyle w:val="356"/>
        <w:numPr>
          <w:ilvl w:val="1"/>
          <w:numId w:val="0"/>
        </w:numPr>
        <w:spacing w:line="360" w:lineRule="auto"/>
      </w:pPr>
      <w:r>
        <w:rPr>
          <w:rFonts w:hint="eastAsia"/>
          <w:b/>
          <w:bCs/>
        </w:rPr>
        <w:t>★</w:t>
      </w:r>
      <w:r>
        <w:rPr>
          <w:rFonts w:hint="eastAsia"/>
        </w:rPr>
        <w:t>1)</w:t>
      </w:r>
      <w:r>
        <w:tab/>
      </w:r>
      <w:r>
        <w:rPr>
          <w:rFonts w:hint="eastAsia"/>
        </w:rPr>
        <w:t>功能要求：</w:t>
      </w:r>
    </w:p>
    <w:p w14:paraId="65C7ACB2">
      <w:pPr>
        <w:adjustRightInd w:val="0"/>
        <w:spacing w:line="360" w:lineRule="auto"/>
        <w:rPr>
          <w:kern w:val="0"/>
          <w:szCs w:val="21"/>
        </w:rPr>
      </w:pPr>
      <w:r>
        <w:rPr>
          <w:rFonts w:hint="eastAsia"/>
          <w:kern w:val="0"/>
          <w:szCs w:val="21"/>
        </w:rPr>
        <w:t>①话务平台-IVR改造</w:t>
      </w:r>
    </w:p>
    <w:p w14:paraId="2611C43A">
      <w:pPr>
        <w:adjustRightInd w:val="0"/>
        <w:spacing w:line="360" w:lineRule="auto"/>
        <w:rPr>
          <w:kern w:val="0"/>
          <w:szCs w:val="21"/>
        </w:rPr>
      </w:pPr>
      <w:r>
        <w:rPr>
          <w:rFonts w:hint="eastAsia"/>
          <w:kern w:val="0"/>
          <w:szCs w:val="21"/>
        </w:rPr>
        <w:t>完成对IVR的改造，客户呼入时，系统自动识别老年用户（使用标签或者获取年龄信息），如果为老年用户，则直接进入老年用户专属坐席队列。</w:t>
      </w:r>
    </w:p>
    <w:p w14:paraId="178D62FE">
      <w:pPr>
        <w:adjustRightInd w:val="0"/>
        <w:spacing w:line="360" w:lineRule="auto"/>
        <w:rPr>
          <w:kern w:val="0"/>
          <w:szCs w:val="21"/>
        </w:rPr>
      </w:pPr>
      <w:r>
        <w:rPr>
          <w:rFonts w:hint="eastAsia"/>
          <w:kern w:val="0"/>
          <w:szCs w:val="21"/>
        </w:rPr>
        <w:t>对排队优先级功能进行改造，老年用户专属坐席队列溢出后，转到其他人工坐席时，优先级比普通用户高。</w:t>
      </w:r>
    </w:p>
    <w:p w14:paraId="32BB53D6">
      <w:pPr>
        <w:adjustRightInd w:val="0"/>
        <w:spacing w:line="360" w:lineRule="auto"/>
        <w:rPr>
          <w:kern w:val="0"/>
          <w:szCs w:val="21"/>
        </w:rPr>
      </w:pPr>
      <w:r>
        <w:rPr>
          <w:rFonts w:hint="eastAsia"/>
          <w:kern w:val="0"/>
          <w:szCs w:val="21"/>
        </w:rPr>
        <w:t>②话务平台-新增老年专属座席</w:t>
      </w:r>
    </w:p>
    <w:p w14:paraId="4E5FD61C">
      <w:pPr>
        <w:adjustRightInd w:val="0"/>
        <w:spacing w:line="360" w:lineRule="auto"/>
        <w:rPr>
          <w:kern w:val="0"/>
          <w:szCs w:val="21"/>
        </w:rPr>
      </w:pPr>
      <w:r>
        <w:rPr>
          <w:rFonts w:hint="eastAsia"/>
          <w:kern w:val="0"/>
          <w:szCs w:val="21"/>
        </w:rPr>
        <w:t>支持设置老年用户专属坐席，老年用户来电后直接转老年用户专属坐席，由老年用户专属坐席提供服务。</w:t>
      </w:r>
    </w:p>
    <w:p w14:paraId="46E21DB6">
      <w:pPr>
        <w:adjustRightInd w:val="0"/>
        <w:spacing w:line="360" w:lineRule="auto"/>
        <w:rPr>
          <w:kern w:val="0"/>
          <w:szCs w:val="21"/>
        </w:rPr>
      </w:pPr>
      <w:r>
        <w:rPr>
          <w:rFonts w:hint="eastAsia"/>
          <w:kern w:val="0"/>
          <w:szCs w:val="21"/>
        </w:rPr>
        <w:t>③客服系统改造-信息展示</w:t>
      </w:r>
    </w:p>
    <w:p w14:paraId="38188744">
      <w:pPr>
        <w:adjustRightInd w:val="0"/>
        <w:spacing w:line="360" w:lineRule="auto"/>
        <w:rPr>
          <w:kern w:val="0"/>
          <w:szCs w:val="21"/>
        </w:rPr>
      </w:pPr>
      <w:r>
        <w:rPr>
          <w:rFonts w:hint="eastAsia"/>
          <w:kern w:val="0"/>
          <w:szCs w:val="21"/>
        </w:rPr>
        <w:t>客户来电时，根据来电号码（或用户提供号码）查询用户信息，若标签为“老年”或年龄超过65岁用户，在座席端来电弹屏界面提示坐席该用户为“老年用户”。支持同步BOSS侧客户标签，并展示在客服页面。</w:t>
      </w:r>
    </w:p>
    <w:p w14:paraId="47BEFA05">
      <w:pPr>
        <w:adjustRightInd w:val="0"/>
        <w:spacing w:line="360" w:lineRule="auto"/>
        <w:rPr>
          <w:kern w:val="0"/>
          <w:szCs w:val="21"/>
        </w:rPr>
      </w:pPr>
      <w:r>
        <w:rPr>
          <w:rFonts w:hint="eastAsia"/>
          <w:kern w:val="0"/>
          <w:szCs w:val="21"/>
        </w:rPr>
        <w:t>④客服系统改造-客服系统工单受理</w:t>
      </w:r>
    </w:p>
    <w:p w14:paraId="46A3ECF3">
      <w:pPr>
        <w:adjustRightInd w:val="0"/>
        <w:spacing w:line="360" w:lineRule="auto"/>
        <w:rPr>
          <w:kern w:val="0"/>
          <w:szCs w:val="21"/>
        </w:rPr>
      </w:pPr>
      <w:r>
        <w:rPr>
          <w:rFonts w:hint="eastAsia"/>
          <w:kern w:val="0"/>
          <w:szCs w:val="21"/>
        </w:rPr>
        <w:t>完成对客服系统中工单受理功能的改造，增加客户标签功能，支持座席在进行5G业务受理时对用户标签信息进行登记、客户信息修改、同步，增加“预约上门”需求描述。</w:t>
      </w:r>
    </w:p>
    <w:p w14:paraId="4688C626">
      <w:pPr>
        <w:adjustRightInd w:val="0"/>
        <w:spacing w:line="360" w:lineRule="auto"/>
        <w:rPr>
          <w:kern w:val="0"/>
          <w:szCs w:val="21"/>
        </w:rPr>
      </w:pPr>
      <w:r>
        <w:rPr>
          <w:rFonts w:hint="eastAsia"/>
          <w:kern w:val="0"/>
          <w:szCs w:val="21"/>
        </w:rPr>
        <w:t>⑤客服系统改造-客服系统工单查询</w:t>
      </w:r>
    </w:p>
    <w:p w14:paraId="6F088596">
      <w:pPr>
        <w:adjustRightInd w:val="0"/>
        <w:spacing w:line="360" w:lineRule="auto"/>
        <w:rPr>
          <w:kern w:val="0"/>
          <w:szCs w:val="21"/>
        </w:rPr>
      </w:pPr>
      <w:r>
        <w:rPr>
          <w:rFonts w:hint="eastAsia"/>
          <w:kern w:val="0"/>
          <w:szCs w:val="21"/>
        </w:rPr>
        <w:t>完成对工单处理功能的改造，支持相关人员在进行工单处理时可按老年用户条件查询工单。</w:t>
      </w:r>
    </w:p>
    <w:p w14:paraId="4E2F3848">
      <w:pPr>
        <w:adjustRightInd w:val="0"/>
        <w:spacing w:line="360" w:lineRule="auto"/>
        <w:rPr>
          <w:kern w:val="0"/>
          <w:szCs w:val="21"/>
        </w:rPr>
      </w:pPr>
      <w:r>
        <w:rPr>
          <w:rFonts w:hint="eastAsia"/>
          <w:kern w:val="0"/>
          <w:szCs w:val="21"/>
        </w:rPr>
        <w:t>⑥客服系统改造-工单时效性</w:t>
      </w:r>
    </w:p>
    <w:p w14:paraId="5B369EFD">
      <w:pPr>
        <w:adjustRightInd w:val="0"/>
        <w:spacing w:line="360" w:lineRule="auto"/>
        <w:rPr>
          <w:kern w:val="0"/>
          <w:szCs w:val="21"/>
        </w:rPr>
      </w:pPr>
      <w:r>
        <w:rPr>
          <w:rFonts w:hint="eastAsia"/>
          <w:kern w:val="0"/>
          <w:szCs w:val="21"/>
        </w:rPr>
        <w:t>依据老年用户的投诉处理时限要求，配置不同的投诉处理时效要求。并根据时效要求对老年用户的工单进行监控、提醒。对老年用户数据独立存储、增加对应统计分析表单。</w:t>
      </w:r>
    </w:p>
    <w:p w14:paraId="191A4BA8">
      <w:pPr>
        <w:adjustRightInd w:val="0"/>
        <w:spacing w:line="360" w:lineRule="auto"/>
        <w:rPr>
          <w:kern w:val="0"/>
          <w:szCs w:val="21"/>
        </w:rPr>
      </w:pPr>
      <w:r>
        <w:rPr>
          <w:rFonts w:hint="eastAsia"/>
          <w:kern w:val="0"/>
          <w:szCs w:val="21"/>
        </w:rPr>
        <w:t>⑦客服系统改造-外呼管理</w:t>
      </w:r>
    </w:p>
    <w:p w14:paraId="5815B5B7">
      <w:pPr>
        <w:adjustRightInd w:val="0"/>
        <w:spacing w:line="360" w:lineRule="auto"/>
        <w:rPr>
          <w:kern w:val="0"/>
          <w:szCs w:val="21"/>
        </w:rPr>
      </w:pPr>
      <w:r>
        <w:rPr>
          <w:rFonts w:hint="eastAsia"/>
          <w:kern w:val="0"/>
          <w:szCs w:val="21"/>
        </w:rPr>
        <w:t>对现有外呼管理功能进行升级，针对老年用户工单定制开发外呼回访任务，定制精简回访话术。老年用户工单处理完成后，由工单受理座席进行工单回访。</w:t>
      </w:r>
    </w:p>
    <w:p w14:paraId="12C4BDB4">
      <w:pPr>
        <w:adjustRightInd w:val="0"/>
        <w:spacing w:line="360" w:lineRule="auto"/>
        <w:rPr>
          <w:kern w:val="0"/>
          <w:szCs w:val="21"/>
        </w:rPr>
      </w:pPr>
      <w:r>
        <w:rPr>
          <w:rFonts w:hint="eastAsia"/>
          <w:kern w:val="0"/>
          <w:szCs w:val="21"/>
        </w:rPr>
        <w:t>⑧运维工单系统改造-PC端改造</w:t>
      </w:r>
    </w:p>
    <w:p w14:paraId="3CE3C456">
      <w:pPr>
        <w:adjustRightInd w:val="0"/>
        <w:spacing w:line="360" w:lineRule="auto"/>
        <w:rPr>
          <w:kern w:val="0"/>
          <w:szCs w:val="21"/>
        </w:rPr>
      </w:pPr>
      <w:r>
        <w:rPr>
          <w:rFonts w:hint="eastAsia"/>
          <w:kern w:val="0"/>
          <w:szCs w:val="21"/>
        </w:rPr>
        <w:t>改造pc端工单领取、查询功能，优化工单报表，支持以老年用户条件领取、查询工单，支持报表查看；</w:t>
      </w:r>
    </w:p>
    <w:p w14:paraId="5601B58F">
      <w:pPr>
        <w:adjustRightInd w:val="0"/>
        <w:spacing w:line="360" w:lineRule="auto"/>
        <w:rPr>
          <w:kern w:val="0"/>
          <w:szCs w:val="21"/>
        </w:rPr>
      </w:pPr>
      <w:r>
        <w:rPr>
          <w:rFonts w:hint="eastAsia"/>
          <w:kern w:val="0"/>
          <w:szCs w:val="21"/>
        </w:rPr>
        <w:t>支持工单PC页面对用户标签进行增加，并同步到客服系统客户信息中。</w:t>
      </w:r>
    </w:p>
    <w:p w14:paraId="52F249BF">
      <w:pPr>
        <w:adjustRightInd w:val="0"/>
        <w:spacing w:line="360" w:lineRule="auto"/>
        <w:rPr>
          <w:kern w:val="0"/>
          <w:szCs w:val="21"/>
        </w:rPr>
      </w:pPr>
      <w:r>
        <w:rPr>
          <w:rFonts w:hint="eastAsia"/>
          <w:kern w:val="0"/>
          <w:szCs w:val="21"/>
        </w:rPr>
        <w:t>完成对数据引擎中数据基础结构的调整，支持是否老年用户的数据存储和区分，便于进行更进一步的数据分析。</w:t>
      </w:r>
    </w:p>
    <w:p w14:paraId="4AE6EBA6">
      <w:pPr>
        <w:adjustRightInd w:val="0"/>
        <w:spacing w:line="360" w:lineRule="auto"/>
        <w:rPr>
          <w:kern w:val="0"/>
          <w:szCs w:val="21"/>
        </w:rPr>
      </w:pPr>
      <w:r>
        <w:rPr>
          <w:rFonts w:hint="eastAsia"/>
          <w:kern w:val="0"/>
          <w:szCs w:val="21"/>
        </w:rPr>
        <w:t>⑨运维工单系统改造-APP端改造</w:t>
      </w:r>
    </w:p>
    <w:p w14:paraId="53D22B1C">
      <w:pPr>
        <w:adjustRightInd w:val="0"/>
        <w:spacing w:line="360" w:lineRule="auto"/>
        <w:rPr>
          <w:kern w:val="0"/>
          <w:szCs w:val="21"/>
        </w:rPr>
      </w:pPr>
      <w:r>
        <w:rPr>
          <w:rFonts w:hint="eastAsia"/>
          <w:kern w:val="0"/>
          <w:szCs w:val="21"/>
        </w:rPr>
        <w:t>改造APP端工单领取、查询功能，优化工单报表，支持以老年用户条件领取、查询工单，支持报表查看。</w:t>
      </w:r>
    </w:p>
    <w:p w14:paraId="43DF5549">
      <w:pPr>
        <w:adjustRightInd w:val="0"/>
        <w:spacing w:line="360" w:lineRule="auto"/>
        <w:rPr>
          <w:kern w:val="0"/>
          <w:szCs w:val="21"/>
        </w:rPr>
      </w:pPr>
      <w:r>
        <w:rPr>
          <w:rFonts w:hint="eastAsia"/>
          <w:kern w:val="0"/>
          <w:szCs w:val="21"/>
        </w:rPr>
        <w:t>支持工单APP端对用户标签进行增加，并同步到客服系统客户信息中。</w:t>
      </w:r>
    </w:p>
    <w:p w14:paraId="4FC2BF45">
      <w:pPr>
        <w:adjustRightInd w:val="0"/>
        <w:spacing w:line="360" w:lineRule="auto"/>
        <w:rPr>
          <w:rFonts w:ascii="宋体" w:hAnsi="宋体" w:cs="宋体"/>
          <w:b/>
          <w:szCs w:val="21"/>
        </w:rPr>
      </w:pPr>
      <w:r>
        <w:rPr>
          <w:rFonts w:hint="eastAsia" w:ascii="宋体" w:hAnsi="宋体" w:cs="宋体"/>
          <w:b/>
          <w:szCs w:val="21"/>
        </w:rPr>
        <w:t>四、数据安全要求</w:t>
      </w:r>
    </w:p>
    <w:p w14:paraId="5E400BF8">
      <w:pPr>
        <w:pStyle w:val="356"/>
        <w:numPr>
          <w:ilvl w:val="1"/>
          <w:numId w:val="0"/>
        </w:numPr>
        <w:spacing w:line="360" w:lineRule="auto"/>
      </w:pPr>
      <w:r>
        <w:rPr>
          <w:rFonts w:hint="eastAsia"/>
        </w:rPr>
        <w:t>★1）</w:t>
      </w:r>
      <w:r>
        <w:tab/>
      </w:r>
      <w:r>
        <w:t>独立子网，不与外网直接相连，所有的数据都保存在内网数据存储中，所有的数据通过内部通讯保存在内网的数据存储中。并对重要的信息进行MD5方式加密，例如用户信息、维护管理员账号密码等。</w:t>
      </w:r>
    </w:p>
    <w:p w14:paraId="034C9253">
      <w:pPr>
        <w:pStyle w:val="356"/>
        <w:numPr>
          <w:ilvl w:val="1"/>
          <w:numId w:val="0"/>
        </w:numPr>
        <w:spacing w:line="360" w:lineRule="auto"/>
      </w:pPr>
      <w:r>
        <w:t>数据导出时文件中增加导出人账号名称的水印。</w:t>
      </w:r>
    </w:p>
    <w:p w14:paraId="334DE407">
      <w:pPr>
        <w:pStyle w:val="356"/>
        <w:numPr>
          <w:ilvl w:val="1"/>
          <w:numId w:val="0"/>
        </w:numPr>
        <w:spacing w:line="360" w:lineRule="auto"/>
      </w:pPr>
      <w:r>
        <w:t>保留数据导出操作记录。</w:t>
      </w:r>
    </w:p>
    <w:p w14:paraId="7693C19F">
      <w:pPr>
        <w:pStyle w:val="356"/>
        <w:numPr>
          <w:ilvl w:val="1"/>
          <w:numId w:val="0"/>
        </w:numPr>
        <w:spacing w:line="360" w:lineRule="auto"/>
      </w:pPr>
      <w:r>
        <w:rPr>
          <w:rFonts w:hint="eastAsia"/>
        </w:rPr>
        <w:t>★2）</w:t>
      </w:r>
      <w:r>
        <w:tab/>
      </w:r>
      <w:r>
        <w:t>灾难备份</w:t>
      </w:r>
      <w:r>
        <w:rPr>
          <w:rFonts w:hint="eastAsia"/>
        </w:rPr>
        <w:t>：</w:t>
      </w:r>
      <w:r>
        <w:t>具备一定的抗灾难以及灾难恢复能力，重要服务器、重要部件、重要数据库应当采用本地双机备份的方式进行容灾保护。</w:t>
      </w:r>
    </w:p>
    <w:p w14:paraId="7659503D">
      <w:pPr>
        <w:pStyle w:val="356"/>
        <w:numPr>
          <w:ilvl w:val="1"/>
          <w:numId w:val="0"/>
        </w:numPr>
        <w:spacing w:line="360" w:lineRule="auto"/>
      </w:pPr>
      <w:r>
        <w:t>应提供本地数据备份与恢复功能，完全数据备份至少每天一次，备份介质场外存放；应提供关键网络设备、通信线路和数据处理系统的硬件冗余，保证系统的可用性；应采用冗余技术设计网络拓扑结构，避免关键节点存在单点故障。</w:t>
      </w:r>
    </w:p>
    <w:p w14:paraId="2954B2C4">
      <w:pPr>
        <w:pStyle w:val="356"/>
        <w:numPr>
          <w:ilvl w:val="1"/>
          <w:numId w:val="0"/>
        </w:numPr>
        <w:spacing w:line="360" w:lineRule="auto"/>
      </w:pPr>
      <w:r>
        <w:rPr>
          <w:rFonts w:hint="eastAsia"/>
        </w:rPr>
        <w:t>★3）</w:t>
      </w:r>
      <w:r>
        <w:tab/>
      </w:r>
      <w:r>
        <w:t>安全保障</w:t>
      </w:r>
    </w:p>
    <w:p w14:paraId="760F2AB3">
      <w:pPr>
        <w:pStyle w:val="356"/>
        <w:numPr>
          <w:ilvl w:val="1"/>
          <w:numId w:val="0"/>
        </w:numPr>
        <w:spacing w:line="360" w:lineRule="auto"/>
      </w:pPr>
      <w:r>
        <w:rPr>
          <w:rFonts w:hint="eastAsia"/>
        </w:rPr>
        <w:t>投标人须保证：</w:t>
      </w:r>
    </w:p>
    <w:p w14:paraId="7373F904">
      <w:pPr>
        <w:pStyle w:val="356"/>
        <w:numPr>
          <w:ilvl w:val="1"/>
          <w:numId w:val="0"/>
        </w:numPr>
        <w:spacing w:line="360" w:lineRule="auto"/>
      </w:pPr>
      <w:r>
        <w:t>不得擅自使用HUB、交换机、无线AP等网络设备对端口进行扩展。不得擅自对终端进行IP地址的设定或绑定。</w:t>
      </w:r>
    </w:p>
    <w:p w14:paraId="737A6374">
      <w:pPr>
        <w:pStyle w:val="356"/>
        <w:numPr>
          <w:ilvl w:val="1"/>
          <w:numId w:val="0"/>
        </w:numPr>
        <w:spacing w:line="360" w:lineRule="auto"/>
      </w:pPr>
      <w:r>
        <w:t>为了保障甲方网络安全，应关注甲方发布的安全通告及防病毒软件版本，及时更新防病毒软件，及时更新办公设备系统安全补丁、修复系统漏洞。</w:t>
      </w:r>
    </w:p>
    <w:p w14:paraId="7E7C3FCE">
      <w:pPr>
        <w:pStyle w:val="356"/>
        <w:numPr>
          <w:ilvl w:val="1"/>
          <w:numId w:val="0"/>
        </w:numPr>
        <w:spacing w:line="360" w:lineRule="auto"/>
      </w:pPr>
      <w:r>
        <w:t>对于非公开的信息，不谈论、不记录、不散布，由于工作需要在本地电脑中存储的数据，使用完毕后尽快删除；供开发、测试使用而打印出来的纸质数据，不放在桌面上、不加锁的抽屉里，使用完毕后及时销毁。</w:t>
      </w:r>
    </w:p>
    <w:p w14:paraId="72BA1CD9">
      <w:pPr>
        <w:pStyle w:val="356"/>
        <w:numPr>
          <w:ilvl w:val="1"/>
          <w:numId w:val="0"/>
        </w:numPr>
        <w:spacing w:line="360" w:lineRule="auto"/>
      </w:pPr>
      <w:r>
        <w:t>禁止向任何人或单位泄露涉及甲方的保密信息、数据，严禁在公开场合讨论涉及甲方业务的内容，严格遵守与甲方签订的保密协议。</w:t>
      </w:r>
    </w:p>
    <w:p w14:paraId="08B81EB8">
      <w:pPr>
        <w:pStyle w:val="356"/>
        <w:numPr>
          <w:ilvl w:val="1"/>
          <w:numId w:val="0"/>
        </w:numPr>
        <w:spacing w:line="360" w:lineRule="auto"/>
      </w:pPr>
      <w:r>
        <w:t>严格按照服务合同中签订的保密条款的相关规定和要求执行，以保证企业利益不受损害，企业秘密得到保护。未经书面授权，乙方不得以任何方式向任何其他组织或个人泄露、转让、许可使用、交换、赠与保密信息。违反保密条款造成的损失将负相应法律责任。</w:t>
      </w:r>
    </w:p>
    <w:p w14:paraId="2EBC9311">
      <w:pPr>
        <w:spacing w:line="360" w:lineRule="auto"/>
        <w:outlineLvl w:val="0"/>
        <w:rPr>
          <w:rFonts w:ascii="宋体" w:hAnsi="宋体" w:cs="宋体"/>
          <w:b/>
          <w:szCs w:val="21"/>
        </w:rPr>
      </w:pPr>
      <w:r>
        <w:rPr>
          <w:rFonts w:hint="eastAsia" w:ascii="宋体" w:hAnsi="宋体" w:cs="宋体"/>
          <w:b/>
          <w:szCs w:val="21"/>
        </w:rPr>
        <w:t>五、实施要求</w:t>
      </w:r>
    </w:p>
    <w:p w14:paraId="588B1FA7">
      <w:pPr>
        <w:adjustRightInd w:val="0"/>
        <w:spacing w:line="360" w:lineRule="auto"/>
        <w:rPr>
          <w:color w:val="000000" w:themeColor="text1"/>
          <w:kern w:val="0"/>
          <w:szCs w:val="21"/>
        </w:rPr>
      </w:pPr>
      <w:r>
        <w:rPr>
          <w:rFonts w:hint="eastAsia"/>
          <w:color w:val="000000" w:themeColor="text1"/>
          <w:kern w:val="0"/>
          <w:szCs w:val="21"/>
        </w:rPr>
        <w:t>★本项目要求合同签订后30个自然日内完成系统部署、对接，运行后要求</w:t>
      </w:r>
      <w:r>
        <w:rPr>
          <w:rFonts w:hint="eastAsia"/>
        </w:rPr>
        <w:t>单个机器人性能指标：2min时长不间断普通话语音文件，转写正确率高于90%，单机器人一小时转写录音时长不低于3h，对话中意图识别率不低于80%，响应时间≤2s。</w:t>
      </w:r>
    </w:p>
    <w:p w14:paraId="37145D1A">
      <w:pPr>
        <w:pStyle w:val="356"/>
        <w:numPr>
          <w:ilvl w:val="1"/>
          <w:numId w:val="0"/>
        </w:numPr>
        <w:spacing w:line="360" w:lineRule="auto"/>
      </w:pPr>
      <w:r>
        <w:rPr>
          <w:rFonts w:hint="eastAsia"/>
        </w:rPr>
        <w:t>整体资源池性能指标：当前整体资源池包含30路机器人资源，均采用双机部署，其中ASR（语音转写）资源白天主要用作接入和外呼，夜间用于智能质检转写，实际使用率≥90%。</w:t>
      </w:r>
    </w:p>
    <w:p w14:paraId="2EA2066B">
      <w:pPr>
        <w:pStyle w:val="356"/>
        <w:numPr>
          <w:ilvl w:val="1"/>
          <w:numId w:val="0"/>
        </w:numPr>
        <w:spacing w:line="360" w:lineRule="auto"/>
      </w:pPr>
      <w:r>
        <w:rPr>
          <w:rFonts w:hint="eastAsia"/>
        </w:rPr>
        <w:t>通管局接口性能指标：</w:t>
      </w:r>
      <w:r>
        <w:t>支持并发</w:t>
      </w:r>
      <w:r>
        <w:rPr>
          <w:rFonts w:hint="eastAsia"/>
        </w:rPr>
        <w:t>≥</w:t>
      </w:r>
      <w:r>
        <w:t>1000</w:t>
      </w:r>
      <w:r>
        <w:rPr>
          <w:rFonts w:hint="eastAsia"/>
        </w:rPr>
        <w:t>，</w:t>
      </w:r>
      <w:r>
        <w:t>支持单</w:t>
      </w:r>
      <w:r>
        <w:rPr>
          <w:rFonts w:hint="eastAsia"/>
        </w:rPr>
        <w:t>、多</w:t>
      </w:r>
      <w:r>
        <w:t>条记录的上传、查询</w:t>
      </w:r>
      <w:r>
        <w:rPr>
          <w:rFonts w:hint="eastAsia"/>
        </w:rPr>
        <w:t>，</w:t>
      </w:r>
      <w:r>
        <w:t>单次简单查询响应时间要求</w:t>
      </w:r>
      <w:r>
        <w:rPr>
          <w:rFonts w:hint="eastAsia"/>
        </w:rPr>
        <w:t>≤3秒，</w:t>
      </w:r>
      <w:r>
        <w:t>单次复杂查询时间要求</w:t>
      </w:r>
      <w:r>
        <w:rPr>
          <w:rFonts w:hint="eastAsia"/>
        </w:rPr>
        <w:t>≤5秒，</w:t>
      </w:r>
      <w:r>
        <w:t>批量简单查询响应时间</w:t>
      </w:r>
      <w:r>
        <w:rPr>
          <w:rFonts w:hint="eastAsia"/>
        </w:rPr>
        <w:t>≤</w:t>
      </w:r>
      <w:r>
        <w:t>30秒</w:t>
      </w:r>
      <w:r>
        <w:rPr>
          <w:rFonts w:hint="eastAsia"/>
        </w:rPr>
        <w:t>，</w:t>
      </w:r>
      <w:r>
        <w:t>批量复杂查询时</w:t>
      </w:r>
      <w:r>
        <w:rPr>
          <w:rFonts w:hint="eastAsia"/>
        </w:rPr>
        <w:t>≤1分钟</w:t>
      </w:r>
      <w:r>
        <w:t>。</w:t>
      </w:r>
    </w:p>
    <w:p w14:paraId="73F8BFAB">
      <w:pPr>
        <w:spacing w:line="360" w:lineRule="auto"/>
        <w:outlineLvl w:val="0"/>
        <w:rPr>
          <w:rFonts w:ascii="宋体" w:hAnsi="宋体" w:cs="宋体"/>
          <w:b/>
          <w:szCs w:val="21"/>
        </w:rPr>
      </w:pPr>
      <w:r>
        <w:rPr>
          <w:rFonts w:hint="eastAsia" w:ascii="宋体" w:hAnsi="宋体" w:cs="宋体"/>
          <w:b/>
          <w:szCs w:val="21"/>
        </w:rPr>
        <w:t>六、服务要求</w:t>
      </w:r>
    </w:p>
    <w:p w14:paraId="35F5B865">
      <w:pPr>
        <w:pStyle w:val="356"/>
        <w:numPr>
          <w:ilvl w:val="1"/>
          <w:numId w:val="0"/>
        </w:numPr>
        <w:spacing w:line="360" w:lineRule="auto"/>
      </w:pPr>
      <w:r>
        <w:rPr>
          <w:rFonts w:hint="eastAsia"/>
        </w:rPr>
        <w:t>★1）</w:t>
      </w:r>
      <w:r>
        <w:tab/>
      </w:r>
      <w:r>
        <w:t>技术服务</w:t>
      </w:r>
    </w:p>
    <w:p w14:paraId="6E93EBF6">
      <w:pPr>
        <w:pStyle w:val="356"/>
        <w:numPr>
          <w:ilvl w:val="1"/>
          <w:numId w:val="0"/>
        </w:numPr>
        <w:spacing w:line="360" w:lineRule="auto"/>
      </w:pPr>
      <w:r>
        <w:t>1、投标人说明在国内的工程技术队伍和机构情况和服务模式，并详细说明技术指导和技术支持的程度。</w:t>
      </w:r>
    </w:p>
    <w:p w14:paraId="75C20358">
      <w:pPr>
        <w:pStyle w:val="356"/>
        <w:numPr>
          <w:ilvl w:val="1"/>
          <w:numId w:val="0"/>
        </w:numPr>
        <w:spacing w:line="360" w:lineRule="auto"/>
      </w:pPr>
      <w:r>
        <w:t>2、投标人应对其在中国的售后服务、技术支持方面的情况作出说明。在中国有无技术支持中心，地点设在何处。投标人应能提供7</w:t>
      </w:r>
      <w:r>
        <w:rPr/>
        <w:sym w:font="Symbol" w:char="F0B4"/>
      </w:r>
      <w:r>
        <w:t>24小时的技术服务。</w:t>
      </w:r>
    </w:p>
    <w:p w14:paraId="4BE84892">
      <w:pPr>
        <w:pStyle w:val="356"/>
        <w:numPr>
          <w:ilvl w:val="1"/>
          <w:numId w:val="0"/>
        </w:numPr>
        <w:spacing w:line="360" w:lineRule="auto"/>
      </w:pPr>
      <w:r>
        <w:t>本</w:t>
      </w:r>
      <w:r>
        <w:rPr>
          <w:rFonts w:hint="eastAsia"/>
        </w:rPr>
        <w:t>项目</w:t>
      </w:r>
      <w:r>
        <w:t>技术服务要求如下：</w:t>
      </w:r>
    </w:p>
    <w:p w14:paraId="38F2CD82">
      <w:pPr>
        <w:pStyle w:val="356"/>
        <w:numPr>
          <w:ilvl w:val="1"/>
          <w:numId w:val="0"/>
        </w:numPr>
        <w:spacing w:line="360" w:lineRule="auto"/>
      </w:pPr>
      <w:r>
        <w:t>(1)响应时限：紧急情况10分钟内电话响应，其余情况一小时内响应。</w:t>
      </w:r>
    </w:p>
    <w:p w14:paraId="76B94CF7">
      <w:pPr>
        <w:pStyle w:val="356"/>
        <w:numPr>
          <w:ilvl w:val="1"/>
          <w:numId w:val="0"/>
        </w:numPr>
        <w:spacing w:line="360" w:lineRule="auto"/>
      </w:pPr>
      <w:r>
        <w:t>(2)软件升级服务：提供软件升级包、补丁及相关文档，现场实施软件升级。</w:t>
      </w:r>
    </w:p>
    <w:p w14:paraId="393E288E">
      <w:pPr>
        <w:pStyle w:val="356"/>
        <w:numPr>
          <w:ilvl w:val="1"/>
          <w:numId w:val="0"/>
        </w:numPr>
        <w:spacing w:line="360" w:lineRule="auto"/>
      </w:pPr>
      <w:r>
        <w:t>(3)现场服务：紧急情况立即赶往现场，市区4小时内到达，省内8小时到达；要求提供软件升级现场服务和硬件更换现场服务；对于替换硬件要求紧急情况24小时内到达，普通情况两周内到达。</w:t>
      </w:r>
    </w:p>
    <w:p w14:paraId="43688A7C">
      <w:pPr>
        <w:pStyle w:val="356"/>
        <w:numPr>
          <w:ilvl w:val="1"/>
          <w:numId w:val="0"/>
        </w:numPr>
        <w:spacing w:line="360" w:lineRule="auto"/>
      </w:pPr>
      <w:r>
        <w:t>(4)解决方案发出时限：紧急情况一小时发出，普通情况两天发出。</w:t>
      </w:r>
    </w:p>
    <w:p w14:paraId="1651BC16">
      <w:pPr>
        <w:pStyle w:val="356"/>
        <w:numPr>
          <w:ilvl w:val="1"/>
          <w:numId w:val="0"/>
        </w:numPr>
        <w:spacing w:line="360" w:lineRule="auto"/>
      </w:pPr>
      <w:r>
        <w:t>(5)紧急情况定义：系统中断或存在中断隐患，承载的某项省网业务中断或存在中断隐患。</w:t>
      </w:r>
    </w:p>
    <w:p w14:paraId="401EEE62">
      <w:pPr>
        <w:pStyle w:val="356"/>
        <w:numPr>
          <w:ilvl w:val="1"/>
          <w:numId w:val="0"/>
        </w:numPr>
        <w:spacing w:line="360" w:lineRule="auto"/>
      </w:pPr>
      <w:r>
        <w:t>3、投标人应提供设备安装调试时所需的工程设计资料，投标人有责任在保证安全和质量的前提下提供技术服务，包括技术咨询、技术资料等。在试运行期间，要求投标人至少设有3个专职技术支持和1个专职测试人员。</w:t>
      </w:r>
    </w:p>
    <w:p w14:paraId="27383DC8">
      <w:pPr>
        <w:pStyle w:val="356"/>
        <w:numPr>
          <w:ilvl w:val="1"/>
          <w:numId w:val="0"/>
        </w:numPr>
        <w:spacing w:line="360" w:lineRule="auto"/>
      </w:pPr>
      <w:r>
        <w:t>在安装和系统调测期间，招标方有权派出技术人员参加，投标人有义务对其进行指导。</w:t>
      </w:r>
    </w:p>
    <w:p w14:paraId="582D0AC4">
      <w:pPr>
        <w:pStyle w:val="356"/>
        <w:numPr>
          <w:ilvl w:val="1"/>
          <w:numId w:val="0"/>
        </w:numPr>
        <w:spacing w:line="360" w:lineRule="auto"/>
      </w:pPr>
      <w:r>
        <w:t>4、投标人应根据合同规定将要安装和调试资料提前一个月单独发往安装现场，资料应一式两份。</w:t>
      </w:r>
    </w:p>
    <w:p w14:paraId="55E3C88D">
      <w:pPr>
        <w:pStyle w:val="356"/>
        <w:numPr>
          <w:ilvl w:val="1"/>
          <w:numId w:val="0"/>
        </w:numPr>
        <w:spacing w:line="360" w:lineRule="auto"/>
      </w:pPr>
      <w:r>
        <w:t>5、投标人在设备包修期内，如对系统软件有所改进、增加新功能以及适应国际新建议所做的修改，均应及时免费提供给招标方使用，并免费提供相应的技术文件。由于软件升级而引起的相应的硬件更换，由投标人负责免费更改。</w:t>
      </w:r>
    </w:p>
    <w:p w14:paraId="4423A29A">
      <w:pPr>
        <w:pStyle w:val="356"/>
        <w:numPr>
          <w:ilvl w:val="1"/>
          <w:numId w:val="0"/>
        </w:numPr>
        <w:spacing w:line="360" w:lineRule="auto"/>
      </w:pPr>
      <w:r>
        <w:t>6、在网络和设备扩容及软件升级时，设备厂商应派技术人员到场指导。</w:t>
      </w:r>
    </w:p>
    <w:p w14:paraId="23C30DD9">
      <w:pPr>
        <w:pStyle w:val="356"/>
        <w:numPr>
          <w:ilvl w:val="1"/>
          <w:numId w:val="0"/>
        </w:numPr>
        <w:spacing w:line="360" w:lineRule="auto"/>
      </w:pPr>
      <w:r>
        <w:t>7、投标人应提供技术服务流程，技术服务内容和价格清单，若包修期内与包修期外不同，则应分别列出。</w:t>
      </w:r>
    </w:p>
    <w:p w14:paraId="7881DA54">
      <w:pPr>
        <w:pStyle w:val="356"/>
        <w:numPr>
          <w:ilvl w:val="1"/>
          <w:numId w:val="0"/>
        </w:numPr>
        <w:spacing w:line="360" w:lineRule="auto"/>
      </w:pPr>
      <w:r>
        <w:t>8、在合同签订后的适当时候，将召开一个双方参加的工程联络会，检查在技术配合、双方执行合同方面的进展情况，并解决预料之外问题。联络会时间、地点待定，投标人可在进度排中提出建议。</w:t>
      </w:r>
    </w:p>
    <w:p w14:paraId="175E33B7">
      <w:pPr>
        <w:pStyle w:val="356"/>
        <w:numPr>
          <w:ilvl w:val="1"/>
          <w:numId w:val="0"/>
        </w:numPr>
        <w:spacing w:line="360" w:lineRule="auto"/>
      </w:pPr>
      <w:r>
        <w:t>9、对于设备提供商应配合系统集成商完成网络的设备安装、调试、验收、开通、试运行及保修等技术服务。双方需向招标方提供工程分工界面图及说明。</w:t>
      </w:r>
    </w:p>
    <w:p w14:paraId="62C60B17">
      <w:pPr>
        <w:pStyle w:val="356"/>
        <w:numPr>
          <w:ilvl w:val="1"/>
          <w:numId w:val="0"/>
        </w:numPr>
        <w:spacing w:line="360" w:lineRule="auto"/>
      </w:pPr>
      <w:r>
        <w:rPr>
          <w:rFonts w:hint="eastAsia"/>
        </w:rPr>
        <w:t>2）</w:t>
      </w:r>
      <w:r>
        <w:tab/>
      </w:r>
      <w:r>
        <w:t>定期平台巡检机制</w:t>
      </w:r>
    </w:p>
    <w:p w14:paraId="7DBD8181">
      <w:pPr>
        <w:pStyle w:val="356"/>
        <w:numPr>
          <w:ilvl w:val="1"/>
          <w:numId w:val="0"/>
        </w:numPr>
        <w:spacing w:line="360" w:lineRule="auto"/>
      </w:pPr>
      <w:r>
        <w:t>投标人每个季度以及各重大安全保障期之前，都需提供相关业务平台的业务巡检报告，排查系统BUG或系统隐患，特别是系统的安全漏洞扫描，并提供自检报告。</w:t>
      </w:r>
    </w:p>
    <w:p w14:paraId="625CBED2">
      <w:pPr>
        <w:pStyle w:val="356"/>
        <w:numPr>
          <w:ilvl w:val="1"/>
          <w:numId w:val="0"/>
        </w:numPr>
        <w:spacing w:line="360" w:lineRule="auto"/>
      </w:pPr>
      <w:r>
        <w:rPr>
          <w:rFonts w:hint="eastAsia"/>
        </w:rPr>
        <w:t>3）</w:t>
      </w:r>
      <w:r>
        <w:tab/>
      </w:r>
      <w:r>
        <w:t>系统值班保障制度</w:t>
      </w:r>
    </w:p>
    <w:p w14:paraId="11A310EA">
      <w:pPr>
        <w:pStyle w:val="356"/>
        <w:numPr>
          <w:ilvl w:val="1"/>
          <w:numId w:val="0"/>
        </w:numPr>
        <w:spacing w:line="360" w:lineRule="auto"/>
      </w:pPr>
      <w:r>
        <w:t>（1）投标人在各重大安全保障期以及系统升级更新后的安全保障期内，需根据采购人的实际要求，提供现场或远程的值班保障。</w:t>
      </w:r>
    </w:p>
    <w:p w14:paraId="15F2FB51">
      <w:pPr>
        <w:pStyle w:val="356"/>
        <w:numPr>
          <w:ilvl w:val="1"/>
          <w:numId w:val="0"/>
        </w:numPr>
        <w:spacing w:line="360" w:lineRule="auto"/>
      </w:pPr>
      <w:r>
        <w:t>（2）如采取远程值班保障，项目经理及值班人员需保证电话24小时畅通，按照值班要求，做好业务监控。</w:t>
      </w:r>
    </w:p>
    <w:p w14:paraId="2B87CBA3">
      <w:pPr>
        <w:pStyle w:val="356"/>
        <w:numPr>
          <w:ilvl w:val="1"/>
          <w:numId w:val="0"/>
        </w:numPr>
        <w:spacing w:line="360" w:lineRule="auto"/>
      </w:pPr>
      <w:r>
        <w:rPr>
          <w:rFonts w:hint="eastAsia"/>
        </w:rPr>
        <w:t>2）</w:t>
      </w:r>
      <w:r>
        <w:tab/>
      </w:r>
      <w:r>
        <w:t>系统技术支持</w:t>
      </w:r>
    </w:p>
    <w:p w14:paraId="1E8D9779">
      <w:pPr>
        <w:pStyle w:val="356"/>
        <w:numPr>
          <w:ilvl w:val="1"/>
          <w:numId w:val="0"/>
        </w:numPr>
        <w:spacing w:line="360" w:lineRule="auto"/>
      </w:pPr>
      <w:r>
        <w:t>投标人在工作日内，需提供第一时间的技术支持，耐心解决系统各项问题。</w:t>
      </w:r>
    </w:p>
    <w:p w14:paraId="6DD8C534">
      <w:pPr>
        <w:pStyle w:val="356"/>
        <w:numPr>
          <w:ilvl w:val="1"/>
          <w:numId w:val="0"/>
        </w:numPr>
        <w:spacing w:line="360" w:lineRule="auto"/>
      </w:pPr>
      <w:r>
        <w:rPr>
          <w:rFonts w:hint="eastAsia"/>
        </w:rPr>
        <w:t>3）</w:t>
      </w:r>
      <w:r>
        <w:tab/>
      </w:r>
      <w:r>
        <w:t>系统故障处理机制</w:t>
      </w:r>
    </w:p>
    <w:p w14:paraId="0970A456">
      <w:pPr>
        <w:pStyle w:val="356"/>
        <w:numPr>
          <w:ilvl w:val="1"/>
          <w:numId w:val="0"/>
        </w:numPr>
        <w:spacing w:line="360" w:lineRule="auto"/>
      </w:pPr>
      <w: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5E50BD69">
      <w:pPr>
        <w:pStyle w:val="356"/>
        <w:numPr>
          <w:ilvl w:val="1"/>
          <w:numId w:val="0"/>
        </w:numPr>
        <w:spacing w:line="360" w:lineRule="auto"/>
      </w:pPr>
      <w:r>
        <w:rPr>
          <w:rFonts w:hint="eastAsia"/>
        </w:rPr>
        <w:t>★4）</w:t>
      </w:r>
      <w:r>
        <w:tab/>
      </w:r>
      <w:r>
        <w:t>其他要求</w:t>
      </w:r>
    </w:p>
    <w:p w14:paraId="1BC0D023">
      <w:pPr>
        <w:pStyle w:val="356"/>
        <w:numPr>
          <w:ilvl w:val="1"/>
          <w:numId w:val="0"/>
        </w:numPr>
        <w:spacing w:line="360" w:lineRule="auto"/>
      </w:pPr>
      <w:r>
        <w:t>（1）投标人应提供经招标人认可的详细需求分析报告、总体设计、应用程序结构等应用软件相关文档。以后投标人对文档的修改也应该有相应的文件提交招标人。</w:t>
      </w:r>
    </w:p>
    <w:p w14:paraId="2F3F8DA4">
      <w:pPr>
        <w:pStyle w:val="356"/>
        <w:numPr>
          <w:ilvl w:val="1"/>
          <w:numId w:val="0"/>
        </w:numPr>
        <w:spacing w:line="360" w:lineRule="auto"/>
      </w:pPr>
      <w:r>
        <w:t>（2）若出现由于投标人提供的应用软件系统不满足要求或其所提供的技术支持和服务不全面而导致系统功能无法实现或不能完全实现，由投标人负全部责任。</w:t>
      </w:r>
    </w:p>
    <w:p w14:paraId="7D953426">
      <w:pPr>
        <w:pStyle w:val="356"/>
        <w:numPr>
          <w:ilvl w:val="1"/>
          <w:numId w:val="0"/>
        </w:numPr>
        <w:spacing w:line="360" w:lineRule="auto"/>
      </w:pPr>
      <w:r>
        <w:t>（3）投标人应确保提供长期技术支持。在包修期内，如招标人要求对软件有新的改进、完善、网元升级等，投标人均应及时对应用软件系统进行修改。</w:t>
      </w:r>
    </w:p>
    <w:p w14:paraId="33197FCB">
      <w:pPr>
        <w:pStyle w:val="356"/>
        <w:numPr>
          <w:ilvl w:val="1"/>
          <w:numId w:val="0"/>
        </w:numPr>
        <w:spacing w:line="360" w:lineRule="auto"/>
      </w:pPr>
      <w:r>
        <w:t>（4）投标人应开放数据库结构，配合并支持招标人的二次开发。</w:t>
      </w:r>
    </w:p>
    <w:p w14:paraId="15D05236">
      <w:pPr>
        <w:pStyle w:val="356"/>
        <w:numPr>
          <w:ilvl w:val="1"/>
          <w:numId w:val="0"/>
        </w:numPr>
        <w:spacing w:line="360" w:lineRule="auto"/>
      </w:pPr>
      <w:r>
        <w:t>（5）应用软件版权归招标人所有。未经招标人许可，投标人不得以任何形式翻录、拷贝或提供全部或部分给任何人使用。</w:t>
      </w:r>
    </w:p>
    <w:p w14:paraId="6911DFBB">
      <w:pPr>
        <w:pStyle w:val="356"/>
        <w:numPr>
          <w:ilvl w:val="1"/>
          <w:numId w:val="0"/>
        </w:numPr>
        <w:spacing w:line="360" w:lineRule="auto"/>
      </w:pPr>
      <w:r>
        <w:t>（6）投标人使用的开发工具以及提供给招标人的系统软件，必须为正版软件，严禁使用盗版软件，并禁止以盗版软件作为开发工具提供给招标人。</w:t>
      </w:r>
    </w:p>
    <w:p w14:paraId="21B2C4F1">
      <w:pPr>
        <w:pStyle w:val="356"/>
        <w:numPr>
          <w:ilvl w:val="1"/>
          <w:numId w:val="0"/>
        </w:numPr>
        <w:spacing w:line="360" w:lineRule="auto"/>
      </w:pPr>
      <w:r>
        <w:t>（7）凡系统中使用的互联网上提供的控件、API、动态库等必须具有相应的安全数字签名，必须经过严格的测试并提供详细的软件说明才可应用到系统软件中，严禁私自使用未经认证的免费资源。</w:t>
      </w:r>
    </w:p>
    <w:p w14:paraId="1F2606E2">
      <w:pPr>
        <w:pStyle w:val="356"/>
        <w:numPr>
          <w:ilvl w:val="1"/>
          <w:numId w:val="0"/>
        </w:numPr>
        <w:spacing w:line="360" w:lineRule="auto"/>
      </w:pPr>
      <w:r>
        <w:t>（8）如果涉及到需要注册的共享软件，必须经过正当途径注册之后才可应用到系统软件中，并对后续的继续使用的费用作出详细说明，严禁私自使用破解软件将破解之后的软件应用到系统软件中。</w:t>
      </w:r>
    </w:p>
    <w:p w14:paraId="65D3FF59">
      <w:pPr>
        <w:pStyle w:val="356"/>
        <w:numPr>
          <w:ilvl w:val="1"/>
          <w:numId w:val="0"/>
        </w:numPr>
        <w:spacing w:line="360" w:lineRule="auto"/>
      </w:pPr>
      <w:r>
        <w:t>（9）可扩展性：从系统结构，功能设计，管理对象，直到软硬件平台的可扩展性。随着移动网络的扩展，管理功能的增加以及管理网络的演进，要求系统必须具有灵活的扩展性。</w:t>
      </w:r>
    </w:p>
    <w:p w14:paraId="33CE48DC">
      <w:pPr>
        <w:pStyle w:val="356"/>
        <w:numPr>
          <w:ilvl w:val="1"/>
          <w:numId w:val="0"/>
        </w:numPr>
        <w:spacing w:line="360" w:lineRule="auto"/>
      </w:pPr>
      <w:r>
        <w:t>（10）系统平滑升级：系统应实现版本化管理，支持软件版本的延续性，新版本应具有向下兼容原有版本的能力；系统提供网络容量扩展的情况下平滑过渡升级的能力，系统版本升级应不影响原有系统的核心功能。</w:t>
      </w:r>
    </w:p>
    <w:p w14:paraId="64F9E99F">
      <w:pPr>
        <w:pStyle w:val="356"/>
        <w:numPr>
          <w:ilvl w:val="1"/>
          <w:numId w:val="0"/>
        </w:numPr>
        <w:spacing w:line="360" w:lineRule="auto"/>
      </w:pPr>
      <w:r>
        <w:t>（11）投标人应确保其技术建议的可行性。若出现由于投标人提供的应用软件不满足要求或其所提供的技术支持和服务不全面而导致系统功能无法实现或不能完全实现，由投标人无偿补足，并负全部责任。</w:t>
      </w:r>
    </w:p>
    <w:p w14:paraId="42466E52">
      <w:pPr>
        <w:pStyle w:val="356"/>
        <w:numPr>
          <w:ilvl w:val="1"/>
          <w:numId w:val="0"/>
        </w:numPr>
        <w:spacing w:line="360" w:lineRule="auto"/>
      </w:pPr>
      <w:r>
        <w:t>（12）由投标人原因造成的工期延误等损失，均由投标人赔偿给招标人。</w:t>
      </w:r>
    </w:p>
    <w:p w14:paraId="0E906C09">
      <w:pPr>
        <w:pStyle w:val="356"/>
        <w:numPr>
          <w:ilvl w:val="1"/>
          <w:numId w:val="0"/>
        </w:numPr>
        <w:spacing w:line="360" w:lineRule="auto"/>
      </w:pPr>
      <w:r>
        <w:t>（13）投标人应保证不同时期提供的应用软件产品兼容。</w:t>
      </w:r>
    </w:p>
    <w:p w14:paraId="7073CC92">
      <w:pPr>
        <w:pStyle w:val="21"/>
      </w:pPr>
    </w:p>
    <w:p w14:paraId="5EB1596F">
      <w:pPr>
        <w:rPr>
          <w:rFonts w:ascii="宋体" w:hAnsi="宋体"/>
          <w:b/>
          <w:sz w:val="24"/>
        </w:rPr>
      </w:pPr>
      <w:r>
        <w:rPr>
          <w:rFonts w:hint="eastAsia" w:ascii="宋体" w:hAnsi="宋体"/>
          <w:b/>
          <w:sz w:val="24"/>
        </w:rPr>
        <w:br w:type="page"/>
      </w:r>
    </w:p>
    <w:p w14:paraId="09FF9D7E">
      <w:pPr>
        <w:pStyle w:val="2"/>
        <w:numPr>
          <w:ilvl w:val="0"/>
          <w:numId w:val="0"/>
        </w:numPr>
        <w:spacing w:line="360" w:lineRule="auto"/>
        <w:rPr>
          <w:b/>
          <w:sz w:val="36"/>
          <w:szCs w:val="36"/>
        </w:rPr>
      </w:pPr>
      <w:r>
        <w:rPr>
          <w:rFonts w:hint="eastAsia"/>
          <w:b/>
          <w:sz w:val="36"/>
          <w:szCs w:val="36"/>
        </w:rPr>
        <w:t>第六章竞争性谈判响应文件格式</w:t>
      </w:r>
      <w:bookmarkEnd w:id="44"/>
    </w:p>
    <w:p w14:paraId="011CA060"/>
    <w:p w14:paraId="5EE711C5"/>
    <w:p w14:paraId="33D0ED28"/>
    <w:p w14:paraId="7C5DDF1C"/>
    <w:p w14:paraId="4B16DA28"/>
    <w:p w14:paraId="2B2C11F8"/>
    <w:p w14:paraId="0BDF9FEE"/>
    <w:p w14:paraId="73F6E2C6">
      <w:pPr>
        <w:jc w:val="center"/>
        <w:rPr>
          <w:rFonts w:ascii="宋体" w:hAnsi="宋体"/>
          <w:sz w:val="44"/>
          <w:szCs w:val="44"/>
        </w:rPr>
      </w:pPr>
      <w:bookmarkStart w:id="46" w:name="_Toc26259736"/>
      <w:r>
        <w:rPr>
          <w:rFonts w:hint="eastAsia" w:ascii="宋体" w:hAnsi="宋体"/>
          <w:sz w:val="44"/>
          <w:szCs w:val="44"/>
        </w:rPr>
        <w:t>江苏省广电有线信息网络股份有限公司</w:t>
      </w:r>
    </w:p>
    <w:bookmarkEnd w:id="46"/>
    <w:p w14:paraId="79B58C77">
      <w:pPr>
        <w:spacing w:after="120" w:line="360" w:lineRule="auto"/>
        <w:jc w:val="center"/>
        <w:rPr>
          <w:rFonts w:ascii="宋体" w:hAnsi="宋体"/>
          <w:sz w:val="44"/>
          <w:szCs w:val="44"/>
        </w:rPr>
      </w:pPr>
      <w:r>
        <w:rPr>
          <w:rFonts w:hint="eastAsia" w:ascii="宋体" w:hAnsi="宋体"/>
          <w:sz w:val="44"/>
          <w:szCs w:val="44"/>
        </w:rPr>
        <w:t>O域系统适老化改造</w:t>
      </w:r>
    </w:p>
    <w:p w14:paraId="44AEA742"/>
    <w:p w14:paraId="788518EA">
      <w:pPr>
        <w:pStyle w:val="21"/>
        <w:kinsoku w:val="0"/>
        <w:overflowPunct w:val="0"/>
        <w:adjustRightInd w:val="0"/>
        <w:snapToGrid w:val="0"/>
        <w:spacing w:beforeLines="100" w:afterLines="100"/>
        <w:ind w:left="210" w:leftChars="100" w:right="210" w:rightChars="100" w:firstLine="400" w:firstLineChars="200"/>
        <w:jc w:val="left"/>
        <w:rPr>
          <w:sz w:val="20"/>
        </w:rPr>
      </w:pPr>
    </w:p>
    <w:p w14:paraId="614B67F7">
      <w:pPr>
        <w:pStyle w:val="21"/>
        <w:adjustRightInd w:val="0"/>
        <w:snapToGrid w:val="0"/>
        <w:spacing w:beforeLines="100" w:afterLines="100"/>
        <w:ind w:left="210" w:leftChars="100" w:right="210" w:rightChars="100" w:firstLine="1440" w:firstLineChars="300"/>
        <w:rPr>
          <w:sz w:val="48"/>
          <w:szCs w:val="48"/>
        </w:rPr>
      </w:pPr>
      <w:r>
        <w:rPr>
          <w:rFonts w:hint="eastAsia"/>
          <w:sz w:val="48"/>
          <w:szCs w:val="48"/>
        </w:rPr>
        <w:t>竞争性谈判响应文件</w:t>
      </w:r>
    </w:p>
    <w:p w14:paraId="3BF37526">
      <w:pPr>
        <w:pStyle w:val="21"/>
        <w:kinsoku w:val="0"/>
        <w:overflowPunct w:val="0"/>
        <w:adjustRightInd w:val="0"/>
        <w:snapToGrid w:val="0"/>
        <w:spacing w:beforeLines="100" w:afterLines="100"/>
        <w:ind w:left="210" w:leftChars="100" w:right="210" w:rightChars="100" w:firstLine="880" w:firstLineChars="200"/>
        <w:jc w:val="left"/>
        <w:rPr>
          <w:sz w:val="44"/>
          <w:szCs w:val="44"/>
        </w:rPr>
      </w:pPr>
    </w:p>
    <w:p w14:paraId="3E3C2A87">
      <w:pPr>
        <w:pStyle w:val="21"/>
        <w:kinsoku w:val="0"/>
        <w:overflowPunct w:val="0"/>
        <w:adjustRightInd w:val="0"/>
        <w:snapToGrid w:val="0"/>
        <w:spacing w:beforeLines="100" w:afterLines="100"/>
        <w:ind w:right="210" w:rightChars="100"/>
        <w:jc w:val="left"/>
        <w:rPr>
          <w:sz w:val="44"/>
          <w:szCs w:val="44"/>
        </w:rPr>
      </w:pPr>
    </w:p>
    <w:p w14:paraId="07F179B2">
      <w:pPr>
        <w:pStyle w:val="21"/>
        <w:kinsoku w:val="0"/>
        <w:overflowPunct w:val="0"/>
        <w:adjustRightInd w:val="0"/>
        <w:snapToGrid w:val="0"/>
        <w:spacing w:beforeLines="100" w:afterLines="100"/>
        <w:ind w:right="210" w:rightChars="100"/>
        <w:jc w:val="left"/>
        <w:rPr>
          <w:sz w:val="44"/>
          <w:szCs w:val="44"/>
        </w:rPr>
      </w:pPr>
    </w:p>
    <w:p w14:paraId="0ADBB8C3">
      <w:pPr>
        <w:pStyle w:val="21"/>
        <w:kinsoku w:val="0"/>
        <w:overflowPunct w:val="0"/>
        <w:adjustRightInd w:val="0"/>
        <w:snapToGrid w:val="0"/>
        <w:spacing w:beforeLines="100" w:afterLines="100"/>
        <w:ind w:right="210" w:rightChars="100"/>
        <w:jc w:val="left"/>
        <w:rPr>
          <w:sz w:val="44"/>
          <w:szCs w:val="44"/>
        </w:rPr>
      </w:pPr>
    </w:p>
    <w:p w14:paraId="5A8D75B4">
      <w:pPr>
        <w:pStyle w:val="21"/>
        <w:kinsoku w:val="0"/>
        <w:overflowPunct w:val="0"/>
        <w:adjustRightInd w:val="0"/>
        <w:snapToGrid w:val="0"/>
        <w:spacing w:beforeLines="100" w:afterLines="100"/>
        <w:ind w:right="210" w:rightChars="100"/>
        <w:jc w:val="left"/>
        <w:rPr>
          <w:sz w:val="44"/>
          <w:szCs w:val="44"/>
        </w:rPr>
      </w:pPr>
    </w:p>
    <w:p w14:paraId="38C17313">
      <w:pPr>
        <w:pStyle w:val="21"/>
        <w:kinsoku w:val="0"/>
        <w:overflowPunct w:val="0"/>
        <w:adjustRightInd w:val="0"/>
        <w:snapToGrid w:val="0"/>
        <w:spacing w:beforeLines="100" w:afterLines="100"/>
        <w:ind w:left="210" w:leftChars="100" w:right="210" w:rightChars="100" w:firstLine="1220" w:firstLineChars="200"/>
        <w:jc w:val="left"/>
        <w:rPr>
          <w:sz w:val="61"/>
          <w:szCs w:val="61"/>
        </w:rPr>
      </w:pPr>
    </w:p>
    <w:p w14:paraId="3EF563FB">
      <w:pPr>
        <w:pStyle w:val="21"/>
        <w:adjustRightInd w:val="0"/>
        <w:snapToGrid w:val="0"/>
        <w:spacing w:beforeLines="100" w:afterLines="100"/>
        <w:ind w:left="210" w:leftChars="100" w:right="210" w:rightChars="100" w:firstLine="560" w:firstLineChars="200"/>
        <w:jc w:val="left"/>
        <w:rPr>
          <w:szCs w:val="28"/>
        </w:rPr>
      </w:pPr>
      <w:r>
        <w:rPr>
          <w:rFonts w:hint="eastAsia"/>
          <w:szCs w:val="28"/>
        </w:rPr>
        <w:t>供应商：（盖单位章）</w:t>
      </w:r>
    </w:p>
    <w:p w14:paraId="56EF980B">
      <w:pPr>
        <w:pStyle w:val="21"/>
        <w:adjustRightInd w:val="0"/>
        <w:snapToGrid w:val="0"/>
        <w:spacing w:beforeLines="100" w:afterLines="100"/>
        <w:ind w:left="210" w:leftChars="100" w:right="210" w:rightChars="100" w:firstLine="560" w:firstLineChars="200"/>
        <w:jc w:val="left"/>
        <w:rPr>
          <w:szCs w:val="28"/>
        </w:rPr>
      </w:pPr>
      <w:r>
        <w:rPr>
          <w:rFonts w:hint="eastAsia"/>
          <w:szCs w:val="28"/>
        </w:rPr>
        <w:t>法定代表人或其委托代理人：（签字）</w:t>
      </w:r>
    </w:p>
    <w:p w14:paraId="72B784C3">
      <w:pPr>
        <w:pStyle w:val="21"/>
        <w:adjustRightInd w:val="0"/>
        <w:snapToGrid w:val="0"/>
        <w:spacing w:beforeLines="100"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14:paraId="38E24AFD">
      <w:pPr>
        <w:pStyle w:val="3"/>
        <w:spacing w:before="312" w:after="312"/>
      </w:pPr>
      <w:bookmarkStart w:id="47" w:name="_Toc529538374"/>
      <w:bookmarkStart w:id="48" w:name="_Toc472689687"/>
      <w:bookmarkStart w:id="49" w:name="_Toc69378658"/>
      <w:bookmarkStart w:id="50" w:name="_Toc26260030"/>
      <w:bookmarkStart w:id="51" w:name="_Toc26259737"/>
      <w:bookmarkStart w:id="52" w:name="_Toc447265603"/>
      <w:bookmarkStart w:id="53" w:name="_Toc438052118"/>
      <w:bookmarkStart w:id="54" w:name="_Toc447265317"/>
      <w:r>
        <w:rPr>
          <w:rFonts w:hint="eastAsia"/>
        </w:rPr>
        <w:t>评审索引表</w:t>
      </w:r>
      <w:bookmarkEnd w:id="47"/>
      <w:bookmarkEnd w:id="48"/>
      <w:bookmarkEnd w:id="49"/>
      <w:bookmarkEnd w:id="50"/>
      <w:bookmarkEnd w:id="51"/>
    </w:p>
    <w:p w14:paraId="600E57B9">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bookmarkStart w:id="55" w:name="_Toc429954241"/>
      <w:bookmarkStart w:id="56" w:name="_Toc401151285"/>
      <w:bookmarkStart w:id="57" w:name="_Toc485737092"/>
      <w:bookmarkStart w:id="58" w:name="_Toc26260031"/>
      <w:bookmarkStart w:id="59" w:name="_Toc427071030"/>
      <w:bookmarkStart w:id="60" w:name="_Toc401133270"/>
      <w:bookmarkStart w:id="61" w:name="_Toc26259738"/>
      <w:bookmarkStart w:id="62" w:name="_Toc529538375"/>
      <w:bookmarkStart w:id="63" w:name="_Toc401216443"/>
    </w:p>
    <w:p w14:paraId="46F782A6">
      <w:pPr>
        <w:pStyle w:val="4"/>
        <w:spacing w:before="260" w:after="260" w:line="416" w:lineRule="auto"/>
        <w:jc w:val="center"/>
        <w:rPr>
          <w:rFonts w:ascii="宋体" w:hAnsi="宋体" w:eastAsia="宋体"/>
          <w:b/>
          <w:bCs/>
          <w:sz w:val="22"/>
          <w:szCs w:val="28"/>
        </w:rPr>
      </w:pPr>
      <w:bookmarkStart w:id="64" w:name="_Toc69378659"/>
      <w:r>
        <w:rPr>
          <w:rFonts w:hint="eastAsia" w:ascii="宋体" w:hAnsi="宋体" w:eastAsia="宋体"/>
          <w:b/>
          <w:bCs/>
          <w:sz w:val="22"/>
          <w:szCs w:val="28"/>
        </w:rPr>
        <w:t>初步</w:t>
      </w:r>
      <w:r>
        <w:rPr>
          <w:rFonts w:ascii="宋体" w:hAnsi="宋体" w:eastAsia="宋体"/>
          <w:b/>
          <w:bCs/>
          <w:sz w:val="22"/>
          <w:szCs w:val="28"/>
        </w:rPr>
        <w:t>评审索引表</w:t>
      </w:r>
      <w:bookmarkEnd w:id="55"/>
      <w:bookmarkEnd w:id="56"/>
      <w:bookmarkEnd w:id="57"/>
      <w:bookmarkEnd w:id="58"/>
      <w:bookmarkEnd w:id="59"/>
      <w:bookmarkEnd w:id="60"/>
      <w:bookmarkEnd w:id="61"/>
      <w:bookmarkEnd w:id="62"/>
      <w:bookmarkEnd w:id="63"/>
      <w:bookmarkEnd w:id="64"/>
    </w:p>
    <w:tbl>
      <w:tblPr>
        <w:tblStyle w:val="5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4"/>
        <w:gridCol w:w="5509"/>
        <w:gridCol w:w="1480"/>
      </w:tblGrid>
      <w:tr w14:paraId="62C1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0E931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5" w:type="pct"/>
            <w:vAlign w:val="center"/>
          </w:tcPr>
          <w:p w14:paraId="35D0332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3053" w:type="pct"/>
            <w:vAlign w:val="center"/>
          </w:tcPr>
          <w:p w14:paraId="096DA8F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评审标准及办法</w:t>
            </w:r>
          </w:p>
        </w:tc>
        <w:tc>
          <w:tcPr>
            <w:tcW w:w="820" w:type="pct"/>
            <w:vAlign w:val="center"/>
          </w:tcPr>
          <w:p w14:paraId="6E95ED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对应页码</w:t>
            </w:r>
          </w:p>
        </w:tc>
      </w:tr>
      <w:tr w14:paraId="46B3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BDAA5C9">
            <w:pPr>
              <w:widowControl/>
              <w:jc w:val="center"/>
              <w:rPr>
                <w:rFonts w:ascii="宋体" w:hAnsi="宋体"/>
              </w:rPr>
            </w:pPr>
            <w:r>
              <w:rPr>
                <w:rFonts w:hint="eastAsia" w:ascii="宋体" w:hAnsi="宋体"/>
              </w:rPr>
              <w:t>1</w:t>
            </w:r>
          </w:p>
        </w:tc>
        <w:tc>
          <w:tcPr>
            <w:tcW w:w="645" w:type="pct"/>
            <w:vAlign w:val="center"/>
          </w:tcPr>
          <w:p w14:paraId="21948FB9">
            <w:pPr>
              <w:jc w:val="center"/>
              <w:rPr>
                <w:szCs w:val="21"/>
                <w:highlight w:val="yellow"/>
                <w:u w:color="000000"/>
              </w:rPr>
            </w:pPr>
            <w:r>
              <w:rPr>
                <w:rFonts w:hint="eastAsia"/>
                <w:szCs w:val="21"/>
                <w:u w:color="000000"/>
              </w:rPr>
              <w:t>营业执照</w:t>
            </w:r>
          </w:p>
        </w:tc>
        <w:tc>
          <w:tcPr>
            <w:tcW w:w="3053" w:type="pct"/>
            <w:vAlign w:val="center"/>
          </w:tcPr>
          <w:p w14:paraId="3A100C2E">
            <w:pPr>
              <w:rPr>
                <w:szCs w:val="21"/>
                <w:u w:color="000000"/>
              </w:rPr>
            </w:pPr>
            <w:r>
              <w:rPr>
                <w:rFonts w:hint="eastAsia"/>
                <w:szCs w:val="21"/>
                <w:u w:color="000000"/>
              </w:rPr>
              <w:t>投标人须为在中华人民共和国境内合法注册的独立法人，遵守中国有关法律、法规，具有良好的商业信誉。（提供营业执照复印件）</w:t>
            </w:r>
          </w:p>
        </w:tc>
        <w:tc>
          <w:tcPr>
            <w:tcW w:w="820" w:type="pct"/>
            <w:vAlign w:val="center"/>
          </w:tcPr>
          <w:p w14:paraId="711522CC">
            <w:pPr>
              <w:widowControl/>
              <w:jc w:val="center"/>
              <w:rPr>
                <w:szCs w:val="21"/>
              </w:rPr>
            </w:pPr>
            <w:r>
              <w:rPr>
                <w:rFonts w:hint="eastAsia"/>
                <w:kern w:val="0"/>
                <w:szCs w:val="21"/>
              </w:rPr>
              <w:t>第</w:t>
            </w:r>
            <w:r>
              <w:rPr>
                <w:kern w:val="0"/>
                <w:szCs w:val="21"/>
              </w:rPr>
              <w:t>页</w:t>
            </w:r>
          </w:p>
        </w:tc>
      </w:tr>
      <w:tr w14:paraId="067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D0EFE51">
            <w:pPr>
              <w:widowControl/>
              <w:jc w:val="center"/>
              <w:rPr>
                <w:rFonts w:ascii="宋体" w:hAnsi="宋体"/>
              </w:rPr>
            </w:pPr>
            <w:r>
              <w:rPr>
                <w:rFonts w:hint="eastAsia" w:ascii="宋体" w:hAnsi="宋体"/>
              </w:rPr>
              <w:t>2</w:t>
            </w:r>
          </w:p>
        </w:tc>
        <w:tc>
          <w:tcPr>
            <w:tcW w:w="645" w:type="pct"/>
            <w:vAlign w:val="center"/>
          </w:tcPr>
          <w:p w14:paraId="6723F3E8">
            <w:pPr>
              <w:jc w:val="center"/>
              <w:rPr>
                <w:szCs w:val="21"/>
                <w:u w:color="000000"/>
              </w:rPr>
            </w:pPr>
            <w:r>
              <w:rPr>
                <w:rFonts w:hint="eastAsia" w:ascii="宋体" w:hAnsi="宋体" w:cs="宋体"/>
                <w:bCs/>
                <w:szCs w:val="21"/>
              </w:rPr>
              <w:t>增值税一般纳税人</w:t>
            </w:r>
          </w:p>
        </w:tc>
        <w:tc>
          <w:tcPr>
            <w:tcW w:w="3053" w:type="pct"/>
            <w:vAlign w:val="center"/>
          </w:tcPr>
          <w:p w14:paraId="1BBA9B43">
            <w:pPr>
              <w:rPr>
                <w:szCs w:val="21"/>
                <w:u w:color="000000"/>
              </w:rPr>
            </w:pPr>
            <w:r>
              <w:rPr>
                <w:rFonts w:hint="eastAsia" w:ascii="宋体" w:hAnsi="宋体" w:cs="宋体"/>
                <w:bCs/>
                <w:szCs w:val="21"/>
              </w:rPr>
              <w:t>投标人须具有增值税一般纳税人资格。</w:t>
            </w:r>
          </w:p>
        </w:tc>
        <w:tc>
          <w:tcPr>
            <w:tcW w:w="820" w:type="pct"/>
            <w:vAlign w:val="center"/>
          </w:tcPr>
          <w:p w14:paraId="4FDB350D">
            <w:pPr>
              <w:widowControl/>
              <w:jc w:val="center"/>
              <w:rPr>
                <w:kern w:val="0"/>
                <w:szCs w:val="21"/>
              </w:rPr>
            </w:pPr>
            <w:r>
              <w:rPr>
                <w:rFonts w:hint="eastAsia"/>
                <w:kern w:val="0"/>
                <w:szCs w:val="21"/>
              </w:rPr>
              <w:t>第</w:t>
            </w:r>
            <w:r>
              <w:rPr>
                <w:kern w:val="0"/>
                <w:szCs w:val="21"/>
              </w:rPr>
              <w:t>页</w:t>
            </w:r>
          </w:p>
        </w:tc>
      </w:tr>
      <w:tr w14:paraId="0DF2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7A2A429">
            <w:pPr>
              <w:widowControl/>
              <w:jc w:val="center"/>
              <w:rPr>
                <w:rFonts w:ascii="宋体" w:hAnsi="宋体"/>
              </w:rPr>
            </w:pPr>
            <w:r>
              <w:rPr>
                <w:rFonts w:hint="eastAsia" w:ascii="宋体" w:hAnsi="宋体"/>
              </w:rPr>
              <w:t>3</w:t>
            </w:r>
          </w:p>
        </w:tc>
        <w:tc>
          <w:tcPr>
            <w:tcW w:w="645" w:type="pct"/>
            <w:vAlign w:val="center"/>
          </w:tcPr>
          <w:p w14:paraId="62EC098C">
            <w:pPr>
              <w:jc w:val="center"/>
              <w:rPr>
                <w:rFonts w:ascii="宋体" w:hAnsi="宋体" w:cs="宋体"/>
                <w:bCs/>
                <w:szCs w:val="21"/>
              </w:rPr>
            </w:pPr>
            <w:r>
              <w:rPr>
                <w:rFonts w:hint="eastAsia" w:ascii="宋体" w:hAnsi="宋体" w:cs="宋体"/>
                <w:bCs/>
                <w:szCs w:val="21"/>
              </w:rPr>
              <w:t>承诺及原厂授权</w:t>
            </w:r>
          </w:p>
        </w:tc>
        <w:tc>
          <w:tcPr>
            <w:tcW w:w="3053" w:type="pct"/>
            <w:vAlign w:val="center"/>
          </w:tcPr>
          <w:p w14:paraId="32CCF99B">
            <w:pPr>
              <w:rPr>
                <w:rFonts w:ascii="宋体" w:hAnsi="宋体" w:cs="宋体"/>
                <w:bCs/>
                <w:szCs w:val="21"/>
              </w:rPr>
            </w:pPr>
            <w:r>
              <w:rPr>
                <w:rFonts w:hint="eastAsia" w:ascii="宋体" w:hAnsi="宋体" w:cs="宋体"/>
                <w:bCs/>
                <w:szCs w:val="21"/>
              </w:rPr>
              <w:t>投标人须承诺与招标人共享本项目二次开发软件知识产权，并向招标人完全开放所有二次开发软件源代码，投标人采用第三方智能化引擎的，须提供原厂商针对本项目的原厂授权。（提供承诺函及原厂授权原件（如有））</w:t>
            </w:r>
          </w:p>
        </w:tc>
        <w:tc>
          <w:tcPr>
            <w:tcW w:w="820" w:type="pct"/>
            <w:vAlign w:val="center"/>
          </w:tcPr>
          <w:p w14:paraId="4CC2D32C">
            <w:pPr>
              <w:widowControl/>
              <w:jc w:val="center"/>
              <w:rPr>
                <w:kern w:val="0"/>
                <w:szCs w:val="21"/>
              </w:rPr>
            </w:pPr>
            <w:r>
              <w:rPr>
                <w:rFonts w:hint="eastAsia"/>
                <w:kern w:val="0"/>
                <w:szCs w:val="21"/>
              </w:rPr>
              <w:t>第</w:t>
            </w:r>
            <w:r>
              <w:rPr>
                <w:kern w:val="0"/>
                <w:szCs w:val="21"/>
              </w:rPr>
              <w:t>页</w:t>
            </w:r>
          </w:p>
        </w:tc>
      </w:tr>
      <w:tr w14:paraId="738A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470C350">
            <w:pPr>
              <w:widowControl/>
              <w:jc w:val="center"/>
              <w:rPr>
                <w:rFonts w:ascii="宋体" w:hAnsi="宋体"/>
              </w:rPr>
            </w:pPr>
            <w:r>
              <w:rPr>
                <w:rFonts w:hint="eastAsia" w:ascii="宋体" w:hAnsi="宋体"/>
              </w:rPr>
              <w:t>4</w:t>
            </w:r>
          </w:p>
        </w:tc>
        <w:tc>
          <w:tcPr>
            <w:tcW w:w="645" w:type="pct"/>
            <w:vAlign w:val="center"/>
          </w:tcPr>
          <w:p w14:paraId="0F7D0819">
            <w:pPr>
              <w:jc w:val="center"/>
              <w:rPr>
                <w:szCs w:val="21"/>
                <w:highlight w:val="yellow"/>
                <w:u w:color="000000"/>
              </w:rPr>
            </w:pPr>
            <w:r>
              <w:rPr>
                <w:rFonts w:hint="eastAsia"/>
                <w:bCs/>
                <w:color w:val="000000"/>
                <w:szCs w:val="21"/>
              </w:rPr>
              <w:t>承诺</w:t>
            </w:r>
          </w:p>
        </w:tc>
        <w:tc>
          <w:tcPr>
            <w:tcW w:w="3053" w:type="pct"/>
            <w:vAlign w:val="center"/>
          </w:tcPr>
          <w:p w14:paraId="61C25E5A">
            <w:pPr>
              <w:rPr>
                <w:szCs w:val="21"/>
                <w:u w:color="000000"/>
              </w:rPr>
            </w:pPr>
            <w:r>
              <w:rPr>
                <w:rFonts w:hint="eastAsia"/>
                <w:szCs w:val="21"/>
                <w:u w:color="000000"/>
              </w:rPr>
              <w:t>投标人须提供所投产品直接包修和服务的承诺（提供承诺函）。</w:t>
            </w:r>
          </w:p>
        </w:tc>
        <w:tc>
          <w:tcPr>
            <w:tcW w:w="820" w:type="pct"/>
            <w:vAlign w:val="center"/>
          </w:tcPr>
          <w:p w14:paraId="46FBDC92">
            <w:pPr>
              <w:widowControl/>
              <w:jc w:val="center"/>
              <w:rPr>
                <w:szCs w:val="21"/>
              </w:rPr>
            </w:pPr>
            <w:r>
              <w:rPr>
                <w:rFonts w:hint="eastAsia"/>
                <w:kern w:val="0"/>
                <w:szCs w:val="21"/>
              </w:rPr>
              <w:t>第</w:t>
            </w:r>
            <w:r>
              <w:rPr>
                <w:kern w:val="0"/>
                <w:szCs w:val="21"/>
              </w:rPr>
              <w:t>页</w:t>
            </w:r>
          </w:p>
        </w:tc>
      </w:tr>
      <w:tr w14:paraId="1228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9102545">
            <w:pPr>
              <w:widowControl/>
              <w:jc w:val="center"/>
              <w:rPr>
                <w:rFonts w:ascii="宋体" w:hAnsi="宋体"/>
              </w:rPr>
            </w:pPr>
            <w:r>
              <w:rPr>
                <w:rFonts w:hint="eastAsia" w:ascii="宋体" w:hAnsi="宋体"/>
              </w:rPr>
              <w:t>5</w:t>
            </w:r>
          </w:p>
        </w:tc>
        <w:tc>
          <w:tcPr>
            <w:tcW w:w="645" w:type="pct"/>
            <w:vAlign w:val="center"/>
          </w:tcPr>
          <w:p w14:paraId="7929390E">
            <w:pPr>
              <w:widowControl/>
              <w:jc w:val="center"/>
              <w:rPr>
                <w:kern w:val="0"/>
                <w:szCs w:val="21"/>
                <w:highlight w:val="yellow"/>
              </w:rPr>
            </w:pPr>
            <w:r>
              <w:rPr>
                <w:rFonts w:hint="eastAsia" w:ascii="宋体" w:hAnsi="宋体" w:cs="宋体"/>
                <w:bCs/>
                <w:szCs w:val="21"/>
              </w:rPr>
              <w:t>财务状况</w:t>
            </w:r>
          </w:p>
        </w:tc>
        <w:tc>
          <w:tcPr>
            <w:tcW w:w="3053" w:type="pct"/>
            <w:vAlign w:val="center"/>
          </w:tcPr>
          <w:p w14:paraId="3E089CFC">
            <w:pPr>
              <w:widowControl/>
              <w:jc w:val="left"/>
              <w:rPr>
                <w:kern w:val="0"/>
                <w:szCs w:val="21"/>
              </w:rPr>
            </w:pPr>
            <w:r>
              <w:rPr>
                <w:color w:val="000000"/>
                <w:szCs w:val="21"/>
              </w:rPr>
              <w:t>投标人须出具经</w:t>
            </w:r>
            <w:r>
              <w:rPr>
                <w:rFonts w:hint="eastAsia"/>
                <w:color w:val="000000"/>
                <w:szCs w:val="21"/>
              </w:rPr>
              <w:t>会计师事务所</w:t>
            </w:r>
            <w:r>
              <w:rPr>
                <w:color w:val="000000"/>
                <w:szCs w:val="21"/>
              </w:rPr>
              <w:t>审计的2021年度和2022年度财务报表（提供证明材料）。</w:t>
            </w:r>
            <w:r>
              <w:rPr>
                <w:rFonts w:hint="eastAsia" w:ascii="宋体" w:hAnsi="宋体" w:cs="宋体"/>
                <w:bCs/>
                <w:szCs w:val="21"/>
              </w:rPr>
              <w:t>202</w:t>
            </w:r>
            <w:r>
              <w:rPr>
                <w:rFonts w:ascii="宋体" w:hAnsi="宋体" w:cs="宋体"/>
                <w:bCs/>
                <w:szCs w:val="21"/>
              </w:rPr>
              <w:t>1</w:t>
            </w:r>
            <w:r>
              <w:rPr>
                <w:rFonts w:hint="eastAsia" w:ascii="宋体" w:hAnsi="宋体" w:cs="宋体"/>
                <w:bCs/>
                <w:szCs w:val="21"/>
              </w:rPr>
              <w:t>年和202</w:t>
            </w:r>
            <w:r>
              <w:rPr>
                <w:rFonts w:ascii="宋体" w:hAnsi="宋体" w:cs="宋体"/>
                <w:bCs/>
                <w:szCs w:val="21"/>
              </w:rPr>
              <w:t>2</w:t>
            </w:r>
            <w:r>
              <w:rPr>
                <w:rFonts w:hint="eastAsia" w:ascii="宋体" w:hAnsi="宋体" w:cs="宋体"/>
                <w:bCs/>
                <w:szCs w:val="21"/>
              </w:rPr>
              <w:t>年平均每年营业收入不低于1000万元。</w:t>
            </w:r>
          </w:p>
        </w:tc>
        <w:tc>
          <w:tcPr>
            <w:tcW w:w="820" w:type="pct"/>
            <w:vAlign w:val="center"/>
          </w:tcPr>
          <w:p w14:paraId="3B282B2D">
            <w:pPr>
              <w:widowControl/>
              <w:jc w:val="center"/>
              <w:rPr>
                <w:szCs w:val="21"/>
              </w:rPr>
            </w:pPr>
            <w:r>
              <w:rPr>
                <w:rFonts w:hint="eastAsia"/>
                <w:kern w:val="0"/>
                <w:szCs w:val="21"/>
              </w:rPr>
              <w:t>第</w:t>
            </w:r>
            <w:r>
              <w:rPr>
                <w:kern w:val="0"/>
                <w:szCs w:val="21"/>
              </w:rPr>
              <w:t>页</w:t>
            </w:r>
          </w:p>
        </w:tc>
      </w:tr>
      <w:tr w14:paraId="21D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4DEC04E">
            <w:pPr>
              <w:widowControl/>
              <w:jc w:val="center"/>
              <w:rPr>
                <w:rFonts w:ascii="宋体" w:hAnsi="宋体"/>
              </w:rPr>
            </w:pPr>
            <w:r>
              <w:rPr>
                <w:rFonts w:hint="eastAsia" w:ascii="宋体" w:hAnsi="宋体"/>
              </w:rPr>
              <w:t>6</w:t>
            </w:r>
          </w:p>
        </w:tc>
        <w:tc>
          <w:tcPr>
            <w:tcW w:w="645" w:type="pct"/>
            <w:vAlign w:val="center"/>
          </w:tcPr>
          <w:p w14:paraId="31857543">
            <w:pPr>
              <w:widowControl/>
              <w:jc w:val="center"/>
              <w:rPr>
                <w:kern w:val="0"/>
                <w:szCs w:val="21"/>
                <w:highlight w:val="yellow"/>
              </w:rPr>
            </w:pPr>
            <w:r>
              <w:rPr>
                <w:rFonts w:hint="eastAsia" w:ascii="宋体" w:hAnsi="宋体" w:cs="宋体"/>
                <w:bCs/>
                <w:szCs w:val="21"/>
              </w:rPr>
              <w:t>类似项目业绩</w:t>
            </w:r>
          </w:p>
        </w:tc>
        <w:tc>
          <w:tcPr>
            <w:tcW w:w="3053" w:type="pct"/>
            <w:vAlign w:val="center"/>
          </w:tcPr>
          <w:p w14:paraId="2E1A83D6">
            <w:pPr>
              <w:widowControl/>
              <w:jc w:val="left"/>
              <w:rPr>
                <w:kern w:val="0"/>
                <w:szCs w:val="21"/>
              </w:rPr>
            </w:pPr>
            <w:r>
              <w:rPr>
                <w:rFonts w:hint="eastAsia" w:ascii="宋体" w:hAnsi="宋体" w:cs="宋体"/>
                <w:bCs/>
                <w:szCs w:val="21"/>
              </w:rPr>
              <w:t>投标人须提供2020年</w:t>
            </w:r>
            <w:r>
              <w:rPr>
                <w:rFonts w:ascii="宋体" w:hAnsi="宋体" w:cs="宋体"/>
                <w:bCs/>
                <w:szCs w:val="21"/>
              </w:rPr>
              <w:t>1</w:t>
            </w:r>
            <w:r>
              <w:rPr>
                <w:rFonts w:hint="eastAsia" w:ascii="宋体" w:hAnsi="宋体" w:cs="宋体"/>
                <w:bCs/>
                <w:szCs w:val="21"/>
              </w:rPr>
              <w:t>月1日（含）至投标截止日的类似项目业绩（提供合同证明材料）。</w:t>
            </w:r>
          </w:p>
        </w:tc>
        <w:tc>
          <w:tcPr>
            <w:tcW w:w="820" w:type="pct"/>
            <w:vAlign w:val="center"/>
          </w:tcPr>
          <w:p w14:paraId="6AAE050B">
            <w:pPr>
              <w:widowControl/>
              <w:jc w:val="center"/>
              <w:rPr>
                <w:szCs w:val="21"/>
              </w:rPr>
            </w:pPr>
            <w:r>
              <w:rPr>
                <w:rFonts w:hint="eastAsia"/>
                <w:kern w:val="0"/>
                <w:szCs w:val="21"/>
              </w:rPr>
              <w:t>第</w:t>
            </w:r>
            <w:r>
              <w:rPr>
                <w:kern w:val="0"/>
                <w:szCs w:val="21"/>
              </w:rPr>
              <w:t>页</w:t>
            </w:r>
          </w:p>
        </w:tc>
      </w:tr>
      <w:tr w14:paraId="530F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24D7D1AD">
            <w:pPr>
              <w:widowControl/>
              <w:jc w:val="center"/>
              <w:rPr>
                <w:rFonts w:ascii="宋体" w:hAnsi="宋体"/>
              </w:rPr>
            </w:pPr>
            <w:r>
              <w:rPr>
                <w:rFonts w:hint="eastAsia" w:ascii="宋体" w:hAnsi="宋体"/>
              </w:rPr>
              <w:t>7</w:t>
            </w:r>
          </w:p>
        </w:tc>
        <w:tc>
          <w:tcPr>
            <w:tcW w:w="645" w:type="pct"/>
            <w:vAlign w:val="center"/>
          </w:tcPr>
          <w:p w14:paraId="58D0982C">
            <w:pPr>
              <w:widowControl/>
              <w:jc w:val="center"/>
              <w:rPr>
                <w:kern w:val="0"/>
                <w:szCs w:val="21"/>
                <w:highlight w:val="yellow"/>
              </w:rPr>
            </w:pPr>
            <w:r>
              <w:rPr>
                <w:rFonts w:hint="eastAsia"/>
                <w:kern w:val="0"/>
                <w:szCs w:val="21"/>
              </w:rPr>
              <w:t>认证</w:t>
            </w:r>
          </w:p>
        </w:tc>
        <w:tc>
          <w:tcPr>
            <w:tcW w:w="3053" w:type="pct"/>
            <w:vAlign w:val="center"/>
          </w:tcPr>
          <w:p w14:paraId="798F8CA7">
            <w:pPr>
              <w:widowControl/>
              <w:jc w:val="left"/>
              <w:rPr>
                <w:kern w:val="0"/>
                <w:szCs w:val="21"/>
              </w:rPr>
            </w:pPr>
            <w:r>
              <w:rPr>
                <w:rFonts w:hint="eastAsia" w:ascii="宋体" w:hAnsi="宋体" w:cs="宋体"/>
                <w:bCs/>
                <w:szCs w:val="21"/>
              </w:rPr>
              <w:t>投标人须具备有效的软件能力成熟度集成模型认证CMMI3级或以上认证（提供认证证书扫描件）。</w:t>
            </w:r>
          </w:p>
        </w:tc>
        <w:tc>
          <w:tcPr>
            <w:tcW w:w="820" w:type="pct"/>
            <w:vAlign w:val="center"/>
          </w:tcPr>
          <w:p w14:paraId="467F8D25">
            <w:pPr>
              <w:widowControl/>
              <w:jc w:val="center"/>
              <w:rPr>
                <w:szCs w:val="21"/>
              </w:rPr>
            </w:pPr>
            <w:r>
              <w:rPr>
                <w:rFonts w:hint="eastAsia"/>
                <w:kern w:val="0"/>
                <w:szCs w:val="21"/>
              </w:rPr>
              <w:t>第</w:t>
            </w:r>
            <w:r>
              <w:rPr>
                <w:kern w:val="0"/>
                <w:szCs w:val="21"/>
              </w:rPr>
              <w:t>页</w:t>
            </w:r>
          </w:p>
        </w:tc>
      </w:tr>
      <w:tr w14:paraId="5343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restart"/>
            <w:vAlign w:val="center"/>
          </w:tcPr>
          <w:p w14:paraId="4FD068D6">
            <w:pPr>
              <w:jc w:val="center"/>
              <w:rPr>
                <w:rFonts w:ascii="宋体" w:hAnsi="宋体"/>
              </w:rPr>
            </w:pPr>
            <w:r>
              <w:rPr>
                <w:rFonts w:hint="eastAsia" w:ascii="宋体" w:hAnsi="宋体"/>
              </w:rPr>
              <w:t>8</w:t>
            </w:r>
          </w:p>
        </w:tc>
        <w:tc>
          <w:tcPr>
            <w:tcW w:w="645" w:type="pct"/>
            <w:vMerge w:val="restart"/>
            <w:vAlign w:val="center"/>
          </w:tcPr>
          <w:p w14:paraId="3F53A0F6">
            <w:pPr>
              <w:widowControl/>
              <w:jc w:val="center"/>
              <w:rPr>
                <w:kern w:val="0"/>
                <w:szCs w:val="21"/>
                <w:highlight w:val="yellow"/>
              </w:rPr>
            </w:pPr>
            <w:r>
              <w:rPr>
                <w:rFonts w:hint="eastAsia"/>
                <w:kern w:val="0"/>
                <w:szCs w:val="21"/>
              </w:rPr>
              <w:t>其他要求</w:t>
            </w:r>
          </w:p>
        </w:tc>
        <w:tc>
          <w:tcPr>
            <w:tcW w:w="3053" w:type="pct"/>
            <w:vAlign w:val="center"/>
          </w:tcPr>
          <w:p w14:paraId="2E5ED7CA">
            <w:pPr>
              <w:widowControl/>
              <w:jc w:val="left"/>
              <w:rPr>
                <w:kern w:val="0"/>
                <w:szCs w:val="21"/>
              </w:rPr>
            </w:pPr>
            <w:r>
              <w:rPr>
                <w:rFonts w:hint="eastAsia"/>
                <w:kern w:val="0"/>
                <w:szCs w:val="21"/>
              </w:rPr>
              <w:t>投标人须在法律和财务上独立、合法运作并独立于招标人和招标代理机构，不得直接或间接地与招标人为本项目所委托的咨询公司或其附属机构有任何关联</w:t>
            </w:r>
            <w:r>
              <w:rPr>
                <w:rFonts w:hint="eastAsia" w:ascii="宋体" w:hAnsi="宋体" w:cs="宋体"/>
                <w:bCs/>
                <w:szCs w:val="21"/>
              </w:rPr>
              <w:t>（提供承诺书原件）</w:t>
            </w:r>
            <w:r>
              <w:rPr>
                <w:rFonts w:hint="eastAsia"/>
                <w:kern w:val="0"/>
                <w:szCs w:val="21"/>
              </w:rPr>
              <w:t>。</w:t>
            </w:r>
          </w:p>
        </w:tc>
        <w:tc>
          <w:tcPr>
            <w:tcW w:w="820" w:type="pct"/>
            <w:vAlign w:val="center"/>
          </w:tcPr>
          <w:p w14:paraId="41F326D1">
            <w:pPr>
              <w:widowControl/>
              <w:jc w:val="center"/>
              <w:rPr>
                <w:szCs w:val="21"/>
              </w:rPr>
            </w:pPr>
            <w:r>
              <w:rPr>
                <w:rFonts w:hint="eastAsia"/>
                <w:kern w:val="0"/>
                <w:szCs w:val="21"/>
              </w:rPr>
              <w:t>第</w:t>
            </w:r>
            <w:r>
              <w:rPr>
                <w:kern w:val="0"/>
                <w:szCs w:val="21"/>
              </w:rPr>
              <w:t>页</w:t>
            </w:r>
          </w:p>
        </w:tc>
      </w:tr>
      <w:tr w14:paraId="07E1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4B9E745D">
            <w:pPr>
              <w:jc w:val="center"/>
              <w:rPr>
                <w:rFonts w:ascii="宋体" w:hAnsi="宋体"/>
              </w:rPr>
            </w:pPr>
          </w:p>
        </w:tc>
        <w:tc>
          <w:tcPr>
            <w:tcW w:w="645" w:type="pct"/>
            <w:vMerge w:val="continue"/>
            <w:vAlign w:val="center"/>
          </w:tcPr>
          <w:p w14:paraId="6C9A029B">
            <w:pPr>
              <w:widowControl/>
              <w:jc w:val="center"/>
              <w:rPr>
                <w:kern w:val="0"/>
                <w:szCs w:val="21"/>
                <w:highlight w:val="yellow"/>
              </w:rPr>
            </w:pPr>
          </w:p>
        </w:tc>
        <w:tc>
          <w:tcPr>
            <w:tcW w:w="3053" w:type="pct"/>
            <w:vAlign w:val="center"/>
          </w:tcPr>
          <w:p w14:paraId="032ABDE7">
            <w:pPr>
              <w:widowControl/>
              <w:jc w:val="left"/>
              <w:rPr>
                <w:kern w:val="0"/>
                <w:szCs w:val="21"/>
              </w:rPr>
            </w:pPr>
            <w:r>
              <w:rPr>
                <w:rFonts w:hint="eastAsia" w:ascii="宋体" w:hAnsi="宋体" w:cs="宋体"/>
                <w:bCs/>
                <w:szCs w:val="21"/>
              </w:rPr>
              <w:t>投标人须保证，招标人在其本国使用投标人提供的产品时，不存在任何已知的不合法的情形，也不存在任何已知的与第三方专利权、著作权、商标权或工业设计权相关的任何争议。如果有任何因招标人使用投标人提供的产品而提起的侵权指控，投标人依法承担全部责任（提供承诺书原件）。</w:t>
            </w:r>
          </w:p>
        </w:tc>
        <w:tc>
          <w:tcPr>
            <w:tcW w:w="820" w:type="pct"/>
            <w:vAlign w:val="center"/>
          </w:tcPr>
          <w:p w14:paraId="1147251B">
            <w:pPr>
              <w:widowControl/>
              <w:jc w:val="center"/>
              <w:rPr>
                <w:kern w:val="0"/>
                <w:szCs w:val="21"/>
              </w:rPr>
            </w:pPr>
            <w:r>
              <w:rPr>
                <w:rFonts w:hint="eastAsia"/>
                <w:kern w:val="0"/>
                <w:szCs w:val="21"/>
              </w:rPr>
              <w:t>第</w:t>
            </w:r>
            <w:r>
              <w:rPr>
                <w:kern w:val="0"/>
                <w:szCs w:val="21"/>
              </w:rPr>
              <w:t>页</w:t>
            </w:r>
          </w:p>
        </w:tc>
      </w:tr>
      <w:tr w14:paraId="4142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2C21F9E6">
            <w:pPr>
              <w:widowControl/>
              <w:jc w:val="center"/>
              <w:rPr>
                <w:rFonts w:ascii="宋体" w:hAnsi="宋体"/>
              </w:rPr>
            </w:pPr>
          </w:p>
        </w:tc>
        <w:tc>
          <w:tcPr>
            <w:tcW w:w="645" w:type="pct"/>
            <w:vMerge w:val="continue"/>
            <w:vAlign w:val="center"/>
          </w:tcPr>
          <w:p w14:paraId="1CC23276">
            <w:pPr>
              <w:widowControl/>
              <w:jc w:val="center"/>
              <w:rPr>
                <w:kern w:val="0"/>
                <w:szCs w:val="21"/>
                <w:highlight w:val="yellow"/>
              </w:rPr>
            </w:pPr>
          </w:p>
        </w:tc>
        <w:tc>
          <w:tcPr>
            <w:tcW w:w="3053" w:type="pct"/>
            <w:vAlign w:val="center"/>
          </w:tcPr>
          <w:p w14:paraId="251818F1">
            <w:pPr>
              <w:widowControl/>
              <w:jc w:val="left"/>
              <w:rPr>
                <w:kern w:val="0"/>
                <w:szCs w:val="21"/>
              </w:rPr>
            </w:pPr>
            <w:r>
              <w:rPr>
                <w:rFonts w:hint="eastAsia"/>
                <w:kern w:val="0"/>
                <w:szCs w:val="21"/>
              </w:rPr>
              <w:t>投标人的单位负责人为同一人或者存在控股、管理关系的不同单位，不得参加同一标段投标或者未划分标段的同一招标项目投标</w:t>
            </w:r>
            <w:r>
              <w:rPr>
                <w:rFonts w:hint="eastAsia" w:ascii="宋体" w:hAnsi="宋体" w:cs="宋体"/>
                <w:bCs/>
                <w:szCs w:val="21"/>
              </w:rPr>
              <w:t>（提供承诺书原件）</w:t>
            </w:r>
            <w:r>
              <w:rPr>
                <w:rFonts w:hint="eastAsia"/>
                <w:kern w:val="0"/>
                <w:szCs w:val="21"/>
              </w:rPr>
              <w:t>。</w:t>
            </w:r>
          </w:p>
        </w:tc>
        <w:tc>
          <w:tcPr>
            <w:tcW w:w="820" w:type="pct"/>
            <w:vAlign w:val="center"/>
          </w:tcPr>
          <w:p w14:paraId="0D3886A7">
            <w:pPr>
              <w:widowControl/>
              <w:jc w:val="center"/>
              <w:rPr>
                <w:kern w:val="0"/>
                <w:szCs w:val="21"/>
              </w:rPr>
            </w:pPr>
            <w:r>
              <w:rPr>
                <w:rFonts w:hint="eastAsia"/>
                <w:kern w:val="0"/>
                <w:szCs w:val="21"/>
              </w:rPr>
              <w:t>第</w:t>
            </w:r>
            <w:r>
              <w:rPr>
                <w:kern w:val="0"/>
                <w:szCs w:val="21"/>
              </w:rPr>
              <w:t>页</w:t>
            </w:r>
          </w:p>
        </w:tc>
      </w:tr>
      <w:tr w14:paraId="3A71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56AB8332">
            <w:pPr>
              <w:widowControl/>
              <w:jc w:val="center"/>
              <w:rPr>
                <w:rFonts w:ascii="宋体" w:hAnsi="宋体"/>
              </w:rPr>
            </w:pPr>
            <w:r>
              <w:rPr>
                <w:rFonts w:hint="eastAsia" w:ascii="宋体" w:hAnsi="宋体"/>
              </w:rPr>
              <w:t>9</w:t>
            </w:r>
          </w:p>
        </w:tc>
        <w:tc>
          <w:tcPr>
            <w:tcW w:w="645" w:type="pct"/>
            <w:vAlign w:val="center"/>
          </w:tcPr>
          <w:p w14:paraId="62980A14">
            <w:pPr>
              <w:widowControl/>
              <w:jc w:val="center"/>
              <w:rPr>
                <w:kern w:val="0"/>
                <w:szCs w:val="21"/>
                <w:highlight w:val="yellow"/>
              </w:rPr>
            </w:pPr>
            <w:r>
              <w:rPr>
                <w:rFonts w:hint="eastAsia" w:ascii="宋体" w:hAnsi="宋体" w:cs="宋体"/>
                <w:bCs/>
                <w:szCs w:val="21"/>
              </w:rPr>
              <w:t>联合体投标</w:t>
            </w:r>
          </w:p>
        </w:tc>
        <w:tc>
          <w:tcPr>
            <w:tcW w:w="3053" w:type="pct"/>
            <w:vAlign w:val="center"/>
          </w:tcPr>
          <w:p w14:paraId="42E7081D">
            <w:pPr>
              <w:widowControl/>
              <w:jc w:val="left"/>
              <w:rPr>
                <w:kern w:val="0"/>
                <w:szCs w:val="21"/>
              </w:rPr>
            </w:pPr>
            <w:r>
              <w:rPr>
                <w:rFonts w:hint="eastAsia" w:ascii="宋体" w:hAnsi="宋体" w:cs="宋体"/>
                <w:bCs/>
                <w:szCs w:val="21"/>
              </w:rPr>
              <w:t>本项目不接受联合体投标（提供承诺书原件）。</w:t>
            </w:r>
          </w:p>
        </w:tc>
        <w:tc>
          <w:tcPr>
            <w:tcW w:w="820" w:type="pct"/>
            <w:vAlign w:val="center"/>
          </w:tcPr>
          <w:p w14:paraId="3D5B950A">
            <w:pPr>
              <w:widowControl/>
              <w:jc w:val="center"/>
              <w:rPr>
                <w:kern w:val="0"/>
                <w:szCs w:val="21"/>
              </w:rPr>
            </w:pPr>
            <w:r>
              <w:rPr>
                <w:rFonts w:hint="eastAsia"/>
                <w:kern w:val="0"/>
                <w:szCs w:val="21"/>
              </w:rPr>
              <w:t>第</w:t>
            </w:r>
            <w:r>
              <w:rPr>
                <w:kern w:val="0"/>
                <w:szCs w:val="21"/>
              </w:rPr>
              <w:t>页</w:t>
            </w:r>
          </w:p>
        </w:tc>
      </w:tr>
      <w:bookmarkEnd w:id="52"/>
      <w:bookmarkEnd w:id="53"/>
      <w:bookmarkEnd w:id="54"/>
    </w:tbl>
    <w:p w14:paraId="6FABA4AC">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6D3F7BA0">
      <w:pPr>
        <w:pStyle w:val="3"/>
        <w:spacing w:before="312" w:after="312"/>
        <w:rPr>
          <w:rStyle w:val="106"/>
          <w:rFonts w:hAnsi="宋体"/>
          <w:b w:val="0"/>
          <w:bCs w:val="0"/>
          <w:sz w:val="24"/>
          <w:szCs w:val="24"/>
        </w:rPr>
      </w:pPr>
      <w:bookmarkStart w:id="65" w:name="_Toc135999006"/>
      <w:bookmarkStart w:id="66" w:name="_Toc161767428"/>
      <w:bookmarkStart w:id="67" w:name="_Toc69378663"/>
      <w:bookmarkStart w:id="68" w:name="_Toc26260033"/>
      <w:bookmarkStart w:id="69" w:name="_Toc529538377"/>
      <w:bookmarkStart w:id="70" w:name="_Toc438052120"/>
      <w:bookmarkStart w:id="71"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5"/>
      <w:bookmarkEnd w:id="66"/>
      <w:r>
        <w:rPr>
          <w:rStyle w:val="106"/>
          <w:rFonts w:hint="eastAsia" w:hAnsi="宋体"/>
          <w:b w:val="0"/>
          <w:bCs w:val="0"/>
          <w:sz w:val="24"/>
          <w:szCs w:val="24"/>
        </w:rPr>
        <w:t>响应函</w:t>
      </w:r>
      <w:bookmarkEnd w:id="67"/>
      <w:bookmarkEnd w:id="68"/>
    </w:p>
    <w:p w14:paraId="41330B1A">
      <w:pPr>
        <w:snapToGrid w:val="0"/>
        <w:spacing w:beforeLines="100"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14:paraId="74C1691B">
      <w:pPr>
        <w:spacing w:line="360" w:lineRule="auto"/>
        <w:rPr>
          <w:rFonts w:ascii="宋体" w:hAnsi="宋体"/>
          <w:sz w:val="24"/>
        </w:rPr>
      </w:pPr>
      <w:r>
        <w:rPr>
          <w:rFonts w:hint="eastAsia" w:ascii="宋体" w:hAnsi="宋体"/>
          <w:sz w:val="24"/>
        </w:rPr>
        <w:t>江苏省广电有线信息网络股份有限公司：</w:t>
      </w:r>
    </w:p>
    <w:p w14:paraId="791DBE0C">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14:paraId="0339DED1">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14:paraId="64572E40">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14:paraId="3D6AD36D">
      <w:pPr>
        <w:spacing w:line="360" w:lineRule="auto"/>
        <w:rPr>
          <w:rFonts w:ascii="宋体" w:hAnsi="宋体"/>
          <w:sz w:val="24"/>
        </w:rPr>
      </w:pPr>
      <w:r>
        <w:rPr>
          <w:rFonts w:hint="eastAsia" w:ascii="宋体" w:hAnsi="宋体"/>
          <w:sz w:val="24"/>
        </w:rPr>
        <w:t>（3）供应商将按竞争性谈判文件的规定履行全部责任和义务。</w:t>
      </w:r>
    </w:p>
    <w:p w14:paraId="3D99C956">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14:paraId="3711F99F">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14:paraId="277DADEC">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14:paraId="37C34068">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14:paraId="106F5475">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32067ECB">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包括制造商）将依法承担全部责任。</w:t>
      </w:r>
    </w:p>
    <w:p w14:paraId="4014691D">
      <w:pPr>
        <w:pStyle w:val="21"/>
        <w:spacing w:line="360" w:lineRule="auto"/>
      </w:pPr>
      <w:r>
        <w:rPr>
          <w:rFonts w:hint="eastAsia" w:ascii="宋体" w:hAnsi="宋体"/>
          <w:sz w:val="24"/>
        </w:rPr>
        <w:t>（10）我方承诺：</w:t>
      </w:r>
      <w:r>
        <w:rPr>
          <w:rFonts w:hint="eastAsia" w:ascii="宋体" w:hAnsi="宋体" w:cs="宋体"/>
          <w:kern w:val="0"/>
          <w:sz w:val="24"/>
          <w:szCs w:val="22"/>
        </w:rPr>
        <w:t>在合同签订后30日内建立有效的服务网点，并向采购人报备。（根据实际需求）</w:t>
      </w:r>
    </w:p>
    <w:p w14:paraId="7207581A">
      <w:pPr>
        <w:spacing w:line="360" w:lineRule="auto"/>
        <w:rPr>
          <w:rFonts w:ascii="宋体" w:hAnsi="宋体"/>
          <w:sz w:val="24"/>
        </w:rPr>
      </w:pPr>
      <w:r>
        <w:rPr>
          <w:rFonts w:hint="eastAsia" w:ascii="宋体" w:hAnsi="宋体"/>
          <w:sz w:val="24"/>
        </w:rPr>
        <w:t>（11）根据本项目要求，我单位委派（姓名）（身份证号）作为本项目的项目负责人。</w:t>
      </w:r>
    </w:p>
    <w:p w14:paraId="27ADDD83">
      <w:pPr>
        <w:spacing w:line="360" w:lineRule="auto"/>
        <w:rPr>
          <w:rFonts w:ascii="宋体" w:hAnsi="宋体"/>
          <w:sz w:val="24"/>
        </w:rPr>
      </w:pPr>
      <w:r>
        <w:rPr>
          <w:rFonts w:hint="eastAsia" w:ascii="宋体" w:hAnsi="宋体"/>
          <w:sz w:val="24"/>
        </w:rPr>
        <w:t>（12）与本响应文件有关的一切往来通讯请寄：</w:t>
      </w:r>
    </w:p>
    <w:p w14:paraId="2759229F">
      <w:pPr>
        <w:spacing w:line="360" w:lineRule="auto"/>
        <w:rPr>
          <w:rFonts w:ascii="宋体" w:hAnsi="宋体"/>
          <w:sz w:val="24"/>
        </w:rPr>
      </w:pPr>
    </w:p>
    <w:p w14:paraId="4D0A2BCD">
      <w:pPr>
        <w:spacing w:line="360" w:lineRule="auto"/>
        <w:rPr>
          <w:rFonts w:ascii="宋体" w:hAnsi="宋体"/>
          <w:sz w:val="24"/>
        </w:rPr>
      </w:pPr>
      <w:r>
        <w:rPr>
          <w:rFonts w:hint="eastAsia" w:ascii="宋体" w:hAnsi="宋体"/>
          <w:sz w:val="24"/>
        </w:rPr>
        <w:t>地址传真：</w:t>
      </w:r>
    </w:p>
    <w:p w14:paraId="7810D657">
      <w:pPr>
        <w:spacing w:line="360" w:lineRule="auto"/>
        <w:rPr>
          <w:rFonts w:ascii="宋体" w:hAnsi="宋体"/>
          <w:sz w:val="24"/>
        </w:rPr>
      </w:pPr>
      <w:r>
        <w:rPr>
          <w:rFonts w:hint="eastAsia" w:ascii="宋体" w:hAnsi="宋体"/>
          <w:sz w:val="24"/>
        </w:rPr>
        <w:t>电话电子函件：</w:t>
      </w:r>
    </w:p>
    <w:p w14:paraId="2303A0F4">
      <w:pPr>
        <w:spacing w:line="360" w:lineRule="auto"/>
        <w:rPr>
          <w:rFonts w:ascii="宋体" w:hAnsi="宋体"/>
          <w:sz w:val="24"/>
        </w:rPr>
      </w:pPr>
    </w:p>
    <w:p w14:paraId="5A3C8838">
      <w:pPr>
        <w:spacing w:line="360" w:lineRule="auto"/>
        <w:rPr>
          <w:rFonts w:ascii="宋体" w:hAnsi="宋体"/>
          <w:sz w:val="24"/>
        </w:rPr>
      </w:pPr>
      <w:r>
        <w:rPr>
          <w:rFonts w:hint="eastAsia" w:ascii="宋体" w:hAnsi="宋体"/>
          <w:sz w:val="24"/>
        </w:rPr>
        <w:t>供应商名称（盖章）：</w:t>
      </w:r>
    </w:p>
    <w:p w14:paraId="050CC481">
      <w:pPr>
        <w:spacing w:line="360" w:lineRule="auto"/>
        <w:rPr>
          <w:rFonts w:ascii="宋体" w:hAnsi="宋体"/>
          <w:sz w:val="24"/>
        </w:rPr>
      </w:pPr>
      <w:r>
        <w:rPr>
          <w:rFonts w:hint="eastAsia" w:ascii="宋体" w:hAnsi="宋体"/>
          <w:sz w:val="24"/>
        </w:rPr>
        <w:t>供应商代表（签字）：</w:t>
      </w:r>
    </w:p>
    <w:p w14:paraId="782AD8C7">
      <w:pPr>
        <w:spacing w:line="360" w:lineRule="auto"/>
        <w:rPr>
          <w:rFonts w:ascii="宋体" w:hAnsi="宋体"/>
          <w:sz w:val="24"/>
        </w:rPr>
      </w:pPr>
      <w:r>
        <w:rPr>
          <w:rFonts w:hint="eastAsia" w:ascii="宋体" w:hAnsi="宋体"/>
          <w:sz w:val="24"/>
        </w:rPr>
        <w:t>日期：</w:t>
      </w:r>
    </w:p>
    <w:p w14:paraId="79D1D400">
      <w:pPr>
        <w:rPr>
          <w:rFonts w:ascii="宋体" w:hAnsi="宋体"/>
          <w:sz w:val="24"/>
        </w:rPr>
      </w:pPr>
      <w:r>
        <w:rPr>
          <w:rFonts w:hint="eastAsia" w:ascii="宋体" w:hAnsi="宋体"/>
          <w:sz w:val="24"/>
        </w:rPr>
        <w:br w:type="page"/>
      </w:r>
    </w:p>
    <w:p w14:paraId="2532A969">
      <w:pPr>
        <w:pStyle w:val="3"/>
        <w:spacing w:before="312" w:after="312"/>
        <w:rPr>
          <w:rFonts w:ascii="黑体"/>
          <w:b/>
          <w:kern w:val="44"/>
          <w:sz w:val="32"/>
        </w:rPr>
      </w:pPr>
      <w:r>
        <w:rPr>
          <w:rStyle w:val="106"/>
          <w:rFonts w:hint="eastAsia" w:hAnsi="宋体"/>
          <w:b w:val="0"/>
          <w:bCs w:val="0"/>
          <w:sz w:val="24"/>
          <w:szCs w:val="24"/>
        </w:rPr>
        <w:t>附件2：法定代表人身份证明及授权委托书</w:t>
      </w:r>
    </w:p>
    <w:p w14:paraId="2A3FD503">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5DC202A5">
      <w:pPr>
        <w:spacing w:line="360" w:lineRule="auto"/>
        <w:ind w:firstLine="420" w:firstLineChars="200"/>
        <w:rPr>
          <w:rFonts w:ascii="宋体" w:hAnsi="宋体" w:cs="宋体"/>
          <w:szCs w:val="21"/>
        </w:rPr>
      </w:pPr>
      <w:r>
        <w:rPr>
          <w:rFonts w:hint="eastAsia" w:ascii="宋体" w:hAnsi="宋体" w:cs="宋体"/>
          <w:szCs w:val="21"/>
        </w:rPr>
        <w:t>委托期限：。</w:t>
      </w:r>
    </w:p>
    <w:p w14:paraId="3D153218">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3E831CFF">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08768BD7">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2"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CEF7F6D">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PLahF1l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p5xZkVLBf/2+fX3j+8uP3wp2OX7Tz9fvf3x9Q0dsN1erM75gt6cuzPs0/XuFORzzywcNcIu&#10;1CEidI0SFVFM+/vJjQe94ekpm3ePoKJYYhkg6rause0BSRG2juW5uC6PWgcm6XA7m+7mec6ZJF+W&#10;ptvTNI8xRHH13KEPDxS0rN+UvDbQETEMhyYotCKos6HxYkyxOvWh5yiKq3cxJzC6OtHGRAMX8yOD&#10;bCWogU7iN4b0m9eMZV3Jp3mWR+QbPr8JMYnfvyBaTRSZ0W3J9zYvGdvzULGXR75XMg7lCOv5eqzM&#10;HKoLUhdh6HOacto0gC8566jHS+5fLAUqzsxDSxWapjs7/VBEYyffzcjATc980yOsJKiSB86G7VEY&#10;BmnpUC8aipTG5C0cUlVrHaXtqQ6sxl6gPo6KjzPXD8qmHW/9/s/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8tqEXWUCAACvBAAADgAAAAAAAAABACAAAAAoAQAAZHJzL2Uyb0RvYy54bWxQ&#10;SwUGAAAAAAYABgBZAQAA/wUAAAAA&#10;">
                <v:fill on="t" focussize="0,0"/>
                <v:stroke color="#000000" miterlimit="8" joinstyle="miter"/>
                <v:imagedata o:title=""/>
                <o:lock v:ext="edit" aspectratio="f"/>
                <v:textbox>
                  <w:txbxContent>
                    <w:p w14:paraId="6CEF7F6D">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71BF9EC">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S7sT8GUCAACvBAAADgAAAGRycy9lMm9Eb2MueG1srVTN&#10;btQwEL4j8Q6W7zSbbUO7UbNV1aoIqUClwgN4HWdjYXvM2LvZcoITQhx4AF6AGyeu8DTl5y2YONuy&#10;BQ49kIPl8difv++bcf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ZO4MwJSwX/9vn194/vLj98Kdnl+08/X7398fUNLbCiN6vzoaQz5/4Me7nBn4J8HpiDo1a4uTpE&#10;hK5VoiaKeb8/u3GgDwIdZbPuEdR0l1hESL6tGrQ9IDnCVqk8F9flUavIJC1ujye7RVFwJik3zvPt&#10;SZ44ZaK8Ou4xxAcKLOsnFW8MdEQM46GJCp2I6mxovHSnWJ6G2HMU5dW5pAmMrk+0MSnA+ezIIFsK&#10;aqCT9CVZJH1zm3Gsq/ikGBcJ+UYubEKM0vcvCKuJIjPaVnxvc5NxPQ+VennN98rGoRxxNVutKzOD&#10;+oLcRRj6nF45TVrAl5x11OMVDy8WAhVn5qGjCk3ynZ3+UaRgp9gdU4CbmdlmRjhJUBWPnA3Tozg8&#10;pIVHPW/ppjyJd3BIVW10sranOrBa9wL1cXJ8/eb6h7IZp12//zP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BLuxPwZQIAAK8EAAAOAAAAAAAAAAEAIAAAACcBAABkcnMvZTJvRG9jLnhtbFBL&#10;BQYAAAAABgAGAFkBAAD+BQAAAAA=&#10;">
                <v:fill on="t" focussize="0,0"/>
                <v:stroke color="#000000" miterlimit="8" joinstyle="miter"/>
                <v:imagedata o:title=""/>
                <o:lock v:ext="edit" aspectratio="f"/>
                <v:textbox>
                  <w:txbxContent>
                    <w:p w14:paraId="271BF9EC">
                      <w:pPr>
                        <w:ind w:firstLine="420"/>
                        <w:jc w:val="center"/>
                        <w:rPr>
                          <w:szCs w:val="21"/>
                        </w:rPr>
                      </w:pPr>
                      <w:r>
                        <w:rPr>
                          <w:rFonts w:hint="eastAsia"/>
                          <w:szCs w:val="21"/>
                        </w:rPr>
                        <w:t>法定代表人身份证背面复印件</w:t>
                      </w:r>
                    </w:p>
                  </w:txbxContent>
                </v:textbox>
              </v:shape>
            </w:pict>
          </mc:Fallback>
        </mc:AlternateContent>
      </w:r>
    </w:p>
    <w:p w14:paraId="08238B1D">
      <w:pPr>
        <w:spacing w:line="360" w:lineRule="auto"/>
        <w:ind w:firstLine="420" w:firstLineChars="200"/>
        <w:rPr>
          <w:rFonts w:ascii="宋体" w:hAnsi="宋体" w:cs="宋体"/>
          <w:szCs w:val="21"/>
        </w:rPr>
      </w:pPr>
    </w:p>
    <w:p w14:paraId="400BD567">
      <w:pPr>
        <w:spacing w:line="360" w:lineRule="auto"/>
        <w:ind w:firstLine="420" w:firstLineChars="200"/>
        <w:rPr>
          <w:rFonts w:ascii="宋体" w:hAnsi="宋体" w:cs="宋体"/>
          <w:szCs w:val="21"/>
        </w:rPr>
      </w:pPr>
    </w:p>
    <w:p w14:paraId="1E65E600">
      <w:pPr>
        <w:spacing w:line="360" w:lineRule="auto"/>
        <w:ind w:firstLine="420" w:firstLineChars="200"/>
        <w:rPr>
          <w:rFonts w:ascii="宋体" w:hAnsi="宋体" w:cs="宋体"/>
          <w:szCs w:val="21"/>
        </w:rPr>
      </w:pPr>
    </w:p>
    <w:p w14:paraId="71168903">
      <w:pPr>
        <w:spacing w:line="360" w:lineRule="auto"/>
        <w:ind w:firstLine="420" w:firstLineChars="200"/>
        <w:rPr>
          <w:rFonts w:ascii="宋体" w:hAnsi="宋体" w:cs="宋体"/>
          <w:szCs w:val="21"/>
        </w:rPr>
      </w:pPr>
    </w:p>
    <w:p w14:paraId="3EC843DC">
      <w:pPr>
        <w:spacing w:line="360" w:lineRule="auto"/>
        <w:ind w:firstLine="420" w:firstLineChars="200"/>
        <w:rPr>
          <w:rFonts w:ascii="宋体" w:hAnsi="宋体" w:cs="宋体"/>
          <w:szCs w:val="21"/>
        </w:rPr>
      </w:pPr>
    </w:p>
    <w:p w14:paraId="202D6A40">
      <w:pPr>
        <w:spacing w:line="360" w:lineRule="auto"/>
        <w:ind w:firstLine="420" w:firstLineChars="200"/>
        <w:rPr>
          <w:rFonts w:ascii="宋体" w:hAnsi="宋体" w:cs="宋体"/>
          <w:szCs w:val="21"/>
        </w:rPr>
      </w:pPr>
    </w:p>
    <w:p w14:paraId="652AD4A6">
      <w:pPr>
        <w:spacing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3"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8E29348">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sbXjvmUCAACvBAAADgAAAGRycy9lMm9Eb2MueG1srVTN&#10;btQwEL4j8Q6W7zSbbUN3o2arqlURUoFKhQfwOs7GwvGYsXez5QSnCnHgAXgBbpy4wtOUn7dg4qRl&#10;Wzj0QA6Wx2N/8803M9nbXzeGrRR6Dbbg6daIM2UllNouCv7i+fGDCWc+CFsKA1YV/Fx5vj+7f2+v&#10;dbkaQw2mVMgIxPq8dQWvQ3B5knhZq0b4LXDKkrMCbEQgExdJiaIl9MYk49HoYdIClg5BKu/p9Kh3&#10;8gER7wIIVaWlOgK5bJQNPSoqIwKl5GvtPJ9FtlWlZHhWVV4FZgpOmYa4UhDaz7s1me2JfIHC1VoO&#10;FMRdKNzKqRHaUtBrqCMRBFui/guq0RLBQxW2JDRJn0hUhLJIR7e0OauFUzEXktq7a9H9/4OVT1en&#10;yHRZ8G3OrGio4N+/vP3x6f3lx685u/zw+debdz+/XdABm3Ritc7n9ObMnWKXrncnIF96ZuGwFnah&#10;DhChrZUoiWLa3U9uPOgMT0/ZvH0CJcUSywBRt3WFTQdIirB1LM/5dXnUOjBJh9vj6W6WZZxJ8o3T&#10;dHuaZjGGyK+eO/ThkYKGdZuCVwZaIobhwASFVgR12jdejClWJz50HEV+9S7mBEaXx9qYaOBifmiQ&#10;rQQ10HH8hpB+85qxrC34NBtnEfmGz29CjOL3L4hGE0VmdFPwyeYlYzseKvbywPdKxr4cYT1fD5WZ&#10;Q3lO6iL0fU5TTpsa8DVnLfV4wf2rpUDFmXlsqULTdGenG4po7GS7YzJw0zPf9AgrCarggbN+exj6&#10;QVo61IuaIqUxeQsHVNVKR2k7qj2roReoj6Piw8x1g7Jpx1t//jO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UTcvYAAAACgEAAA8AAAAAAAAAAQAgAAAAIgAAAGRycy9kb3ducmV2LnhtbFBLAQIU&#10;ABQAAAAIAIdO4kCxteO+ZQIAAK8EAAAOAAAAAAAAAAEAIAAAACcBAABkcnMvZTJvRG9jLnhtbFBL&#10;BQYAAAAABgAGAFkBAAD+BQAAAAA=&#10;">
                <v:fill on="t" focussize="0,0"/>
                <v:stroke color="#000000" miterlimit="8" joinstyle="miter"/>
                <v:imagedata o:title=""/>
                <o:lock v:ext="edit" aspectratio="f"/>
                <v:textbox>
                  <w:txbxContent>
                    <w:p w14:paraId="48E29348">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4"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A632069">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LIJOoZQIAAK8EAAAOAAAAZHJzL2Uyb0RvYy54bWyt&#10;VM1u1DAQviPxDpbvNJvthnajZquqVRFSgUqFB/A6zsbC8Zixd7PlBKcKceABeAFunLjC05Sft2Di&#10;7C7bwqEHcrA8Hs8333wzzsHhsjFsodBrsAVPdwacKSuh1HZW8BfPTx/sc+aDsKUwYFXBL5Xnh5P7&#10;9w5al6sh1GBKhYxArM9bV/A6BJcniZe1aoTfAacsOSvARgQycZaUKFpCb0wyHAweJi1g6RCk8p5O&#10;T3onXyHiXQChqrRUJyDnjbKhR0VlRKCSfK2d55PItqqUDM+qyqvATMGp0hBXSkL7abcmkwORz1C4&#10;WssVBXEXCrdqaoS2lHQDdSKCYHPUf0E1WiJ4qMKOhCbpC4mKUBXp4JY2F7VwKtZCUnu3Ed3/P1j5&#10;dHGOTJcFH3FmRUMN//7l7Y9P768/fs3Z9YfPv968+/ntig5Y2onVOp9TzIU7x65c785AvvTMwnEt&#10;7EwdIUJbK1ESxXg/uRHQGZ5C2bR9AiXlEvMAUbdlhU0HSIqwZWzP5aY9ahmYpMPd4XgvyzLOJPmG&#10;abo7TrOOUyLydbhDHx4paFi3KXhloCViGI5MUGhFUOf94MWcYnHmQx+/jos1gdHlqTYmGjibHhtk&#10;C0EDdBq/VUq/fc1Y1hZ8nA2ziHzD57chBvH7F0SjiSIzuin4/vYlYzseKs7yiu9axr4dYTldrjoz&#10;hfKS1EXo55xeOW1qwNectTTjBfev5gIVZ+axpQ6N09GoexTRGGV7QzJw2zPd9ggrCarggbN+exz6&#10;hzR3qGc1ZUpj8RaOqKuVjtJ2VHtW1KfOoDmOHVu9ue6hbNvx1p//zO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Isgk6hlAgAArwQAAA4AAAAAAAAAAQAgAAAAKQEAAGRycy9lMm9Eb2MueG1s&#10;UEsFBgAAAAAGAAYAWQEAAAAGAAAAAA==&#10;">
                <v:fill on="t" focussize="0,0"/>
                <v:stroke color="#000000" miterlimit="8" joinstyle="miter"/>
                <v:imagedata o:title=""/>
                <o:lock v:ext="edit" aspectratio="f"/>
                <v:textbox>
                  <w:txbxContent>
                    <w:p w14:paraId="0A632069">
                      <w:pPr>
                        <w:ind w:firstLine="420"/>
                        <w:jc w:val="center"/>
                        <w:rPr>
                          <w:szCs w:val="21"/>
                        </w:rPr>
                      </w:pPr>
                      <w:r>
                        <w:rPr>
                          <w:rFonts w:hint="eastAsia"/>
                          <w:szCs w:val="21"/>
                        </w:rPr>
                        <w:t>授权代表身份证正面复印件</w:t>
                      </w:r>
                    </w:p>
                  </w:txbxContent>
                </v:textbox>
              </v:shape>
            </w:pict>
          </mc:Fallback>
        </mc:AlternateContent>
      </w:r>
    </w:p>
    <w:p w14:paraId="38031297">
      <w:pPr>
        <w:spacing w:line="360" w:lineRule="auto"/>
        <w:ind w:firstLine="420" w:firstLineChars="200"/>
        <w:rPr>
          <w:rFonts w:ascii="宋体" w:hAnsi="宋体" w:cs="宋体"/>
          <w:szCs w:val="21"/>
        </w:rPr>
      </w:pPr>
    </w:p>
    <w:p w14:paraId="19315E74">
      <w:pPr>
        <w:spacing w:line="360" w:lineRule="auto"/>
        <w:ind w:firstLine="420" w:firstLineChars="200"/>
        <w:rPr>
          <w:rFonts w:ascii="宋体" w:hAnsi="宋体" w:cs="宋体"/>
          <w:szCs w:val="21"/>
        </w:rPr>
      </w:pPr>
    </w:p>
    <w:p w14:paraId="0DA5A8B2">
      <w:pPr>
        <w:spacing w:line="360" w:lineRule="auto"/>
        <w:ind w:firstLine="420" w:firstLineChars="200"/>
        <w:rPr>
          <w:rFonts w:ascii="宋体" w:hAnsi="宋体" w:cs="宋体"/>
          <w:szCs w:val="21"/>
        </w:rPr>
      </w:pPr>
    </w:p>
    <w:p w14:paraId="65BF074F">
      <w:pPr>
        <w:spacing w:line="360" w:lineRule="auto"/>
        <w:ind w:firstLine="420" w:firstLineChars="200"/>
        <w:rPr>
          <w:rFonts w:ascii="宋体" w:hAnsi="宋体" w:cs="宋体"/>
          <w:szCs w:val="21"/>
        </w:rPr>
      </w:pPr>
    </w:p>
    <w:p w14:paraId="23B28916">
      <w:pPr>
        <w:spacing w:line="360" w:lineRule="auto"/>
        <w:ind w:firstLine="420" w:firstLineChars="200"/>
        <w:rPr>
          <w:rFonts w:ascii="宋体" w:hAnsi="宋体" w:cs="宋体"/>
          <w:szCs w:val="21"/>
        </w:rPr>
      </w:pPr>
    </w:p>
    <w:p w14:paraId="31817F61">
      <w:pPr>
        <w:spacing w:line="360" w:lineRule="auto"/>
        <w:ind w:firstLine="420" w:firstLineChars="200"/>
        <w:rPr>
          <w:rFonts w:ascii="宋体" w:hAnsi="宋体" w:cs="宋体"/>
          <w:szCs w:val="21"/>
        </w:rPr>
      </w:pPr>
    </w:p>
    <w:p w14:paraId="52B32C49">
      <w:pPr>
        <w:spacing w:line="360" w:lineRule="auto"/>
        <w:ind w:firstLine="420" w:firstLineChars="200"/>
        <w:rPr>
          <w:rFonts w:ascii="宋体" w:hAnsi="宋体" w:cs="宋体"/>
          <w:szCs w:val="21"/>
        </w:rPr>
      </w:pPr>
    </w:p>
    <w:p w14:paraId="0C6384D6">
      <w:pPr>
        <w:spacing w:line="360" w:lineRule="auto"/>
        <w:ind w:firstLine="420" w:firstLineChars="200"/>
        <w:jc w:val="right"/>
        <w:rPr>
          <w:rFonts w:ascii="宋体" w:hAnsi="宋体" w:cs="宋体"/>
          <w:szCs w:val="21"/>
        </w:rPr>
      </w:pPr>
      <w:r>
        <w:rPr>
          <w:rFonts w:hint="eastAsia" w:ascii="宋体" w:hAnsi="宋体" w:cs="宋体"/>
          <w:szCs w:val="21"/>
        </w:rPr>
        <w:t>供应商名称：（盖单位公章）</w:t>
      </w:r>
    </w:p>
    <w:p w14:paraId="7A8F0616">
      <w:pPr>
        <w:spacing w:line="360" w:lineRule="auto"/>
        <w:ind w:firstLine="420" w:firstLineChars="200"/>
        <w:jc w:val="right"/>
        <w:rPr>
          <w:rFonts w:ascii="宋体" w:hAnsi="宋体" w:cs="宋体"/>
          <w:szCs w:val="21"/>
        </w:rPr>
      </w:pPr>
      <w:r>
        <w:rPr>
          <w:rFonts w:hint="eastAsia" w:ascii="宋体" w:hAnsi="宋体" w:cs="宋体"/>
          <w:szCs w:val="21"/>
        </w:rPr>
        <w:t>法定代表人：（签字）</w:t>
      </w:r>
    </w:p>
    <w:p w14:paraId="2998C7B6">
      <w:pPr>
        <w:spacing w:line="360" w:lineRule="auto"/>
        <w:ind w:right="420" w:firstLine="2940" w:firstLineChars="1400"/>
        <w:rPr>
          <w:rFonts w:ascii="宋体" w:hAnsi="宋体" w:cs="宋体"/>
          <w:szCs w:val="21"/>
        </w:rPr>
      </w:pPr>
      <w:r>
        <w:rPr>
          <w:rFonts w:hint="eastAsia" w:ascii="宋体" w:hAnsi="宋体" w:cs="宋体"/>
          <w:szCs w:val="21"/>
        </w:rPr>
        <w:t>身份证号码：</w:t>
      </w:r>
    </w:p>
    <w:p w14:paraId="3AD084F3">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委托授权代表：（签字）</w:t>
      </w:r>
    </w:p>
    <w:p w14:paraId="7BB307FD">
      <w:pPr>
        <w:spacing w:line="360" w:lineRule="auto"/>
        <w:ind w:right="105" w:firstLine="2940" w:firstLineChars="1400"/>
        <w:rPr>
          <w:rFonts w:ascii="宋体" w:hAnsi="宋体" w:cs="宋体"/>
          <w:szCs w:val="21"/>
        </w:rPr>
      </w:pPr>
      <w:r>
        <w:rPr>
          <w:rFonts w:hint="eastAsia" w:ascii="宋体" w:hAnsi="宋体" w:cs="宋体"/>
          <w:szCs w:val="21"/>
        </w:rPr>
        <w:t>身份证号码：</w:t>
      </w:r>
    </w:p>
    <w:p w14:paraId="44B61C57">
      <w:pPr>
        <w:spacing w:line="360" w:lineRule="auto"/>
        <w:ind w:firstLine="2310" w:firstLineChars="1100"/>
        <w:jc w:val="right"/>
        <w:rPr>
          <w:rFonts w:ascii="宋体" w:hAnsi="宋体" w:cs="宋体"/>
          <w:szCs w:val="21"/>
        </w:rPr>
      </w:pPr>
      <w:r>
        <w:rPr>
          <w:rFonts w:hint="eastAsia" w:ascii="宋体" w:hAnsi="宋体" w:cs="宋体"/>
          <w:szCs w:val="21"/>
        </w:rPr>
        <w:t>年月日</w:t>
      </w:r>
    </w:p>
    <w:p w14:paraId="6D7BBEEA">
      <w:pPr>
        <w:pStyle w:val="3"/>
        <w:spacing w:before="312" w:after="312"/>
        <w:rPr>
          <w:rStyle w:val="106"/>
          <w:rFonts w:hAnsi="宋体"/>
          <w:b w:val="0"/>
          <w:bCs w:val="0"/>
          <w:sz w:val="24"/>
          <w:szCs w:val="24"/>
        </w:rPr>
      </w:pPr>
      <w:r>
        <w:br w:type="page"/>
      </w:r>
      <w:bookmarkStart w:id="72" w:name="_Toc26259740"/>
      <w:bookmarkStart w:id="73" w:name="_Toc69378664"/>
      <w:bookmarkStart w:id="74" w:name="_Toc26260034"/>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(格式)</w:t>
      </w:r>
    </w:p>
    <w:p w14:paraId="424627E4">
      <w:pPr>
        <w:rPr>
          <w:b/>
          <w:color w:val="000000"/>
          <w:szCs w:val="21"/>
        </w:rPr>
      </w:pPr>
      <w:r>
        <w:rPr>
          <w:color w:val="000000"/>
        </w:rPr>
        <w:t>项目名称：</w:t>
      </w:r>
    </w:p>
    <w:p w14:paraId="58F3176B">
      <w:pPr>
        <w:rPr>
          <w:b/>
          <w:color w:val="000000"/>
          <w:szCs w:val="21"/>
        </w:rPr>
      </w:pPr>
    </w:p>
    <w:tbl>
      <w:tblPr>
        <w:tblStyle w:val="53"/>
        <w:tblW w:w="9628"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132"/>
        <w:gridCol w:w="829"/>
        <w:gridCol w:w="1439"/>
        <w:gridCol w:w="1560"/>
      </w:tblGrid>
      <w:tr w14:paraId="044E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vAlign w:val="center"/>
          </w:tcPr>
          <w:p w14:paraId="0E2091E5">
            <w:pPr>
              <w:jc w:val="center"/>
              <w:rPr>
                <w:rFonts w:ascii="宋体" w:hAnsi="宋体" w:cs="宋体"/>
                <w:b/>
                <w:szCs w:val="21"/>
              </w:rPr>
            </w:pPr>
            <w:r>
              <w:rPr>
                <w:rFonts w:hint="eastAsia" w:ascii="宋体" w:hAnsi="宋体" w:cs="宋体"/>
                <w:b/>
                <w:szCs w:val="21"/>
              </w:rPr>
              <w:t>产品名称</w:t>
            </w:r>
          </w:p>
        </w:tc>
        <w:tc>
          <w:tcPr>
            <w:tcW w:w="4132" w:type="dxa"/>
            <w:vAlign w:val="center"/>
          </w:tcPr>
          <w:p w14:paraId="06451FF0">
            <w:pPr>
              <w:jc w:val="center"/>
              <w:rPr>
                <w:rFonts w:ascii="宋体" w:hAnsi="宋体" w:cs="宋体"/>
                <w:b/>
                <w:szCs w:val="21"/>
              </w:rPr>
            </w:pPr>
            <w:r>
              <w:rPr>
                <w:rFonts w:hint="eastAsia" w:ascii="宋体" w:hAnsi="宋体" w:cs="宋体"/>
                <w:b/>
                <w:szCs w:val="21"/>
              </w:rPr>
              <w:t>规格</w:t>
            </w:r>
          </w:p>
        </w:tc>
        <w:tc>
          <w:tcPr>
            <w:tcW w:w="829" w:type="dxa"/>
            <w:vAlign w:val="center"/>
          </w:tcPr>
          <w:p w14:paraId="6F3E4A10">
            <w:pPr>
              <w:jc w:val="center"/>
              <w:rPr>
                <w:rFonts w:ascii="宋体" w:hAnsi="宋体" w:cs="宋体"/>
                <w:b/>
                <w:szCs w:val="21"/>
              </w:rPr>
            </w:pPr>
            <w:r>
              <w:rPr>
                <w:rFonts w:hint="eastAsia" w:ascii="宋体" w:hAnsi="宋体" w:cs="宋体"/>
                <w:b/>
                <w:szCs w:val="21"/>
              </w:rPr>
              <w:t>数量</w:t>
            </w:r>
          </w:p>
        </w:tc>
        <w:tc>
          <w:tcPr>
            <w:tcW w:w="1439" w:type="dxa"/>
            <w:vAlign w:val="center"/>
          </w:tcPr>
          <w:p w14:paraId="636397A3">
            <w:pPr>
              <w:jc w:val="center"/>
              <w:rPr>
                <w:rFonts w:ascii="宋体" w:hAnsi="宋体" w:cs="宋体"/>
                <w:b/>
                <w:szCs w:val="21"/>
              </w:rPr>
            </w:pPr>
            <w:r>
              <w:rPr>
                <w:rFonts w:hint="eastAsia" w:ascii="宋体" w:hAnsi="宋体" w:cs="宋体"/>
                <w:b/>
                <w:szCs w:val="21"/>
              </w:rPr>
              <w:t>单价（元）</w:t>
            </w:r>
          </w:p>
        </w:tc>
        <w:tc>
          <w:tcPr>
            <w:tcW w:w="1560" w:type="dxa"/>
            <w:vAlign w:val="center"/>
          </w:tcPr>
          <w:p w14:paraId="74870675">
            <w:pPr>
              <w:jc w:val="center"/>
              <w:rPr>
                <w:rFonts w:ascii="宋体" w:hAnsi="宋体" w:cs="宋体"/>
                <w:b/>
                <w:szCs w:val="21"/>
              </w:rPr>
            </w:pPr>
            <w:r>
              <w:rPr>
                <w:rFonts w:hint="eastAsia" w:ascii="宋体" w:hAnsi="宋体" w:cs="宋体"/>
                <w:b/>
                <w:szCs w:val="21"/>
              </w:rPr>
              <w:t>总价（元）</w:t>
            </w:r>
          </w:p>
        </w:tc>
      </w:tr>
      <w:tr w14:paraId="1DD9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1BA58A7">
            <w:pPr>
              <w:jc w:val="center"/>
              <w:rPr>
                <w:szCs w:val="21"/>
              </w:rPr>
            </w:pPr>
            <w:r>
              <w:rPr>
                <w:rFonts w:hint="eastAsia"/>
                <w:szCs w:val="21"/>
              </w:rPr>
              <w:t>O域系统适老化改造</w:t>
            </w:r>
          </w:p>
        </w:tc>
        <w:tc>
          <w:tcPr>
            <w:tcW w:w="4132" w:type="dxa"/>
            <w:vAlign w:val="center"/>
          </w:tcPr>
          <w:p w14:paraId="7B8913B5">
            <w:pPr>
              <w:rPr>
                <w:sz w:val="18"/>
                <w:szCs w:val="18"/>
              </w:rPr>
            </w:pPr>
            <w:r>
              <w:rPr>
                <w:rFonts w:hint="eastAsia"/>
                <w:szCs w:val="21"/>
              </w:rPr>
              <w:t>套</w:t>
            </w:r>
          </w:p>
        </w:tc>
        <w:tc>
          <w:tcPr>
            <w:tcW w:w="829" w:type="dxa"/>
            <w:vAlign w:val="center"/>
          </w:tcPr>
          <w:p w14:paraId="4146AD28">
            <w:pPr>
              <w:jc w:val="center"/>
              <w:rPr>
                <w:szCs w:val="21"/>
              </w:rPr>
            </w:pPr>
            <w:r>
              <w:rPr>
                <w:rFonts w:hint="eastAsia"/>
                <w:szCs w:val="21"/>
              </w:rPr>
              <w:t>1</w:t>
            </w:r>
          </w:p>
        </w:tc>
        <w:tc>
          <w:tcPr>
            <w:tcW w:w="1439" w:type="dxa"/>
            <w:vAlign w:val="center"/>
          </w:tcPr>
          <w:p w14:paraId="7B8ACC11">
            <w:pPr>
              <w:jc w:val="center"/>
              <w:rPr>
                <w:szCs w:val="21"/>
              </w:rPr>
            </w:pPr>
            <w:r>
              <w:rPr>
                <w:rFonts w:hint="eastAsia"/>
                <w:szCs w:val="21"/>
              </w:rPr>
              <w:t>20万</w:t>
            </w:r>
          </w:p>
        </w:tc>
        <w:tc>
          <w:tcPr>
            <w:tcW w:w="1560" w:type="dxa"/>
          </w:tcPr>
          <w:p w14:paraId="55AF5D14">
            <w:pPr>
              <w:jc w:val="center"/>
              <w:rPr>
                <w:szCs w:val="21"/>
              </w:rPr>
            </w:pPr>
            <w:r>
              <w:rPr>
                <w:rFonts w:hint="eastAsia"/>
                <w:szCs w:val="21"/>
              </w:rPr>
              <w:t>20万</w:t>
            </w:r>
          </w:p>
        </w:tc>
      </w:tr>
      <w:tr w14:paraId="1317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14:paraId="54B707C0">
            <w:pPr>
              <w:rPr>
                <w:rFonts w:ascii="宋体" w:hAnsi="宋体" w:cs="宋体"/>
              </w:rPr>
            </w:pPr>
            <w:r>
              <w:rPr>
                <w:rFonts w:hint="eastAsia" w:ascii="宋体" w:hAnsi="宋体" w:cs="宋体"/>
              </w:rPr>
              <w:t>服务及培训</w:t>
            </w:r>
          </w:p>
        </w:tc>
        <w:tc>
          <w:tcPr>
            <w:tcW w:w="4132" w:type="dxa"/>
            <w:vAlign w:val="center"/>
          </w:tcPr>
          <w:p w14:paraId="67CB281F">
            <w:pPr>
              <w:jc w:val="left"/>
              <w:rPr>
                <w:rFonts w:ascii="宋体" w:hAnsi="宋体" w:cs="宋体"/>
                <w:szCs w:val="21"/>
              </w:rPr>
            </w:pPr>
            <w:r>
              <w:rPr>
                <w:rFonts w:hint="eastAsia" w:ascii="宋体" w:hAnsi="宋体" w:cs="宋体"/>
                <w:szCs w:val="21"/>
              </w:rPr>
              <w:t>系统集成</w:t>
            </w:r>
          </w:p>
        </w:tc>
        <w:tc>
          <w:tcPr>
            <w:tcW w:w="3828" w:type="dxa"/>
            <w:gridSpan w:val="3"/>
          </w:tcPr>
          <w:p w14:paraId="6E4395AD">
            <w:pPr>
              <w:rPr>
                <w:rFonts w:ascii="宋体" w:hAnsi="宋体" w:cs="宋体"/>
                <w:szCs w:val="21"/>
              </w:rPr>
            </w:pPr>
            <w:r>
              <w:rPr>
                <w:rFonts w:hint="eastAsia" w:ascii="宋体" w:hAnsi="宋体" w:cs="宋体"/>
                <w:szCs w:val="21"/>
              </w:rPr>
              <w:t>包含在软件开发费用之中</w:t>
            </w:r>
          </w:p>
        </w:tc>
      </w:tr>
      <w:tr w14:paraId="6851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67792A59">
            <w:pPr>
              <w:rPr>
                <w:rFonts w:ascii="宋体" w:hAnsi="宋体" w:cs="宋体"/>
              </w:rPr>
            </w:pPr>
          </w:p>
        </w:tc>
        <w:tc>
          <w:tcPr>
            <w:tcW w:w="4132" w:type="dxa"/>
            <w:vAlign w:val="center"/>
          </w:tcPr>
          <w:p w14:paraId="605219BD">
            <w:pPr>
              <w:spacing w:before="120"/>
              <w:jc w:val="left"/>
              <w:rPr>
                <w:rFonts w:ascii="宋体" w:hAnsi="宋体" w:cs="宋体"/>
                <w:szCs w:val="21"/>
              </w:rPr>
            </w:pPr>
            <w:r>
              <w:rPr>
                <w:rFonts w:hint="eastAsia" w:ascii="宋体" w:hAnsi="宋体" w:cs="宋体"/>
                <w:szCs w:val="21"/>
              </w:rPr>
              <w:t>售后服务</w:t>
            </w:r>
          </w:p>
        </w:tc>
        <w:tc>
          <w:tcPr>
            <w:tcW w:w="3828" w:type="dxa"/>
            <w:gridSpan w:val="3"/>
          </w:tcPr>
          <w:p w14:paraId="7329B2B0">
            <w:pPr>
              <w:rPr>
                <w:rFonts w:ascii="宋体" w:hAnsi="宋体" w:cs="宋体"/>
                <w:szCs w:val="21"/>
              </w:rPr>
            </w:pPr>
            <w:r>
              <w:rPr>
                <w:rFonts w:hint="eastAsia" w:ascii="宋体" w:hAnsi="宋体" w:cs="宋体"/>
                <w:szCs w:val="21"/>
              </w:rPr>
              <w:t>免费</w:t>
            </w:r>
          </w:p>
        </w:tc>
      </w:tr>
      <w:tr w14:paraId="2BA5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1F46D282">
            <w:pPr>
              <w:rPr>
                <w:rFonts w:ascii="宋体" w:hAnsi="宋体" w:cs="宋体"/>
              </w:rPr>
            </w:pPr>
          </w:p>
        </w:tc>
        <w:tc>
          <w:tcPr>
            <w:tcW w:w="4132" w:type="dxa"/>
            <w:vAlign w:val="center"/>
          </w:tcPr>
          <w:p w14:paraId="34B8E001">
            <w:pPr>
              <w:spacing w:before="120"/>
              <w:jc w:val="left"/>
              <w:rPr>
                <w:rFonts w:ascii="宋体" w:hAnsi="宋体" w:cs="宋体"/>
                <w:szCs w:val="21"/>
              </w:rPr>
            </w:pPr>
            <w:r>
              <w:rPr>
                <w:rFonts w:hint="eastAsia" w:ascii="宋体" w:hAnsi="宋体" w:cs="宋体"/>
                <w:szCs w:val="21"/>
              </w:rPr>
              <w:t>培训</w:t>
            </w:r>
          </w:p>
        </w:tc>
        <w:tc>
          <w:tcPr>
            <w:tcW w:w="3828" w:type="dxa"/>
            <w:gridSpan w:val="3"/>
          </w:tcPr>
          <w:p w14:paraId="01AF0962">
            <w:pPr>
              <w:rPr>
                <w:rFonts w:ascii="宋体" w:hAnsi="宋体" w:cs="宋体"/>
                <w:szCs w:val="21"/>
              </w:rPr>
            </w:pPr>
            <w:r>
              <w:rPr>
                <w:rFonts w:hint="eastAsia" w:ascii="宋体" w:hAnsi="宋体" w:cs="宋体"/>
                <w:szCs w:val="21"/>
              </w:rPr>
              <w:t>免费</w:t>
            </w:r>
          </w:p>
        </w:tc>
      </w:tr>
      <w:tr w14:paraId="7B0D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24819134">
            <w:pPr>
              <w:rPr>
                <w:rFonts w:ascii="宋体" w:hAnsi="宋体" w:cs="宋体"/>
              </w:rPr>
            </w:pPr>
          </w:p>
        </w:tc>
        <w:tc>
          <w:tcPr>
            <w:tcW w:w="4132" w:type="dxa"/>
            <w:vAlign w:val="center"/>
          </w:tcPr>
          <w:p w14:paraId="182A10E6">
            <w:pPr>
              <w:spacing w:before="120"/>
              <w:jc w:val="left"/>
              <w:rPr>
                <w:rFonts w:ascii="宋体" w:hAnsi="宋体" w:cs="宋体"/>
                <w:szCs w:val="21"/>
              </w:rPr>
            </w:pPr>
            <w:r>
              <w:rPr>
                <w:rFonts w:hint="eastAsia" w:ascii="宋体" w:hAnsi="宋体" w:cs="宋体"/>
                <w:szCs w:val="21"/>
              </w:rPr>
              <w:t>其他</w:t>
            </w:r>
          </w:p>
        </w:tc>
        <w:tc>
          <w:tcPr>
            <w:tcW w:w="3828" w:type="dxa"/>
            <w:gridSpan w:val="3"/>
          </w:tcPr>
          <w:p w14:paraId="01A9AACA">
            <w:pPr>
              <w:rPr>
                <w:rFonts w:ascii="宋体" w:hAnsi="宋体" w:cs="宋体"/>
                <w:szCs w:val="21"/>
              </w:rPr>
            </w:pPr>
          </w:p>
        </w:tc>
      </w:tr>
      <w:tr w14:paraId="0AFF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0" w:type="dxa"/>
            <w:gridSpan w:val="2"/>
          </w:tcPr>
          <w:p w14:paraId="3E25CA16">
            <w:pPr>
              <w:spacing w:before="120"/>
              <w:jc w:val="center"/>
              <w:rPr>
                <w:rFonts w:ascii="宋体" w:hAnsi="宋体" w:cs="宋体"/>
                <w:szCs w:val="21"/>
              </w:rPr>
            </w:pPr>
            <w:r>
              <w:rPr>
                <w:rFonts w:hint="eastAsia" w:ascii="宋体" w:hAnsi="宋体" w:cs="宋体"/>
              </w:rPr>
              <w:t>合计</w:t>
            </w:r>
          </w:p>
        </w:tc>
        <w:tc>
          <w:tcPr>
            <w:tcW w:w="3828" w:type="dxa"/>
            <w:gridSpan w:val="3"/>
          </w:tcPr>
          <w:p w14:paraId="4CE61521">
            <w:pPr>
              <w:rPr>
                <w:rFonts w:ascii="宋体" w:hAnsi="宋体" w:cs="宋体"/>
                <w:szCs w:val="21"/>
              </w:rPr>
            </w:pPr>
          </w:p>
        </w:tc>
      </w:tr>
      <w:tr w14:paraId="5AE7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57A04159">
            <w:pPr>
              <w:jc w:val="center"/>
              <w:rPr>
                <w:rFonts w:ascii="宋体" w:hAnsi="宋体" w:cs="宋体"/>
              </w:rPr>
            </w:pPr>
            <w:r>
              <w:rPr>
                <w:rFonts w:hint="eastAsia" w:ascii="宋体" w:hAnsi="宋体" w:cs="宋体"/>
              </w:rPr>
              <w:t>开发周期</w:t>
            </w:r>
          </w:p>
        </w:tc>
        <w:tc>
          <w:tcPr>
            <w:tcW w:w="7960" w:type="dxa"/>
            <w:gridSpan w:val="4"/>
            <w:vAlign w:val="center"/>
          </w:tcPr>
          <w:p w14:paraId="71387936">
            <w:pPr>
              <w:rPr>
                <w:rFonts w:ascii="宋体" w:hAnsi="宋体" w:cs="宋体"/>
              </w:rPr>
            </w:pPr>
            <w:r>
              <w:rPr>
                <w:rFonts w:hint="eastAsia" w:ascii="宋体" w:hAnsi="宋体" w:cs="宋体"/>
              </w:rPr>
              <w:t xml:space="preserve"> 天（不超过三个月）</w:t>
            </w:r>
          </w:p>
        </w:tc>
      </w:tr>
      <w:tr w14:paraId="6124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6D687C2">
            <w:pPr>
              <w:jc w:val="center"/>
              <w:rPr>
                <w:rFonts w:ascii="宋体" w:hAnsi="宋体" w:cs="宋体"/>
              </w:rPr>
            </w:pPr>
            <w:r>
              <w:rPr>
                <w:rFonts w:hint="eastAsia" w:ascii="宋体" w:hAnsi="宋体" w:cs="宋体"/>
              </w:rPr>
              <w:t>交货地点</w:t>
            </w:r>
          </w:p>
        </w:tc>
        <w:tc>
          <w:tcPr>
            <w:tcW w:w="7960" w:type="dxa"/>
            <w:gridSpan w:val="4"/>
            <w:vAlign w:val="center"/>
          </w:tcPr>
          <w:p w14:paraId="3435CC3D">
            <w:pPr>
              <w:rPr>
                <w:rFonts w:ascii="宋体" w:hAnsi="宋体" w:cs="宋体"/>
              </w:rPr>
            </w:pPr>
            <w:r>
              <w:rPr>
                <w:rFonts w:hint="eastAsia" w:ascii="宋体" w:hAnsi="宋体" w:cs="宋体"/>
              </w:rPr>
              <w:t>招标人指定地点</w:t>
            </w:r>
          </w:p>
        </w:tc>
      </w:tr>
      <w:tr w14:paraId="4203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3DB62F5">
            <w:pPr>
              <w:jc w:val="center"/>
              <w:rPr>
                <w:rFonts w:ascii="宋体" w:hAnsi="宋体" w:cs="宋体"/>
              </w:rPr>
            </w:pPr>
            <w:r>
              <w:rPr>
                <w:rFonts w:hint="eastAsia" w:ascii="宋体" w:hAnsi="宋体" w:cs="宋体"/>
              </w:rPr>
              <w:t>免费包修期</w:t>
            </w:r>
          </w:p>
        </w:tc>
        <w:tc>
          <w:tcPr>
            <w:tcW w:w="7960" w:type="dxa"/>
            <w:gridSpan w:val="4"/>
            <w:vAlign w:val="center"/>
          </w:tcPr>
          <w:p w14:paraId="52E6F6F2">
            <w:pPr>
              <w:rPr>
                <w:rFonts w:ascii="宋体" w:hAnsi="宋体" w:cs="宋体"/>
              </w:rPr>
            </w:pPr>
            <w:r>
              <w:rPr>
                <w:rFonts w:hint="eastAsia" w:ascii="宋体" w:hAnsi="宋体" w:cs="宋体"/>
              </w:rPr>
              <w:t xml:space="preserve"> 年（不少于叁年）</w:t>
            </w:r>
          </w:p>
        </w:tc>
      </w:tr>
      <w:tr w14:paraId="4C44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385C6513">
            <w:pPr>
              <w:jc w:val="center"/>
              <w:rPr>
                <w:rFonts w:ascii="宋体" w:hAnsi="宋体" w:cs="宋体"/>
              </w:rPr>
            </w:pPr>
            <w:r>
              <w:rPr>
                <w:rFonts w:hint="eastAsia" w:ascii="宋体" w:hAnsi="宋体" w:cs="宋体"/>
              </w:rPr>
              <w:t>包修期内的服务内容</w:t>
            </w:r>
          </w:p>
        </w:tc>
        <w:tc>
          <w:tcPr>
            <w:tcW w:w="7960" w:type="dxa"/>
            <w:gridSpan w:val="4"/>
            <w:vAlign w:val="center"/>
          </w:tcPr>
          <w:p w14:paraId="482554F9">
            <w:pPr>
              <w:spacing w:line="400" w:lineRule="exact"/>
              <w:rPr>
                <w:rFonts w:ascii="宋体" w:hAnsi="宋体"/>
                <w:szCs w:val="21"/>
                <w:u w:val="single"/>
              </w:rPr>
            </w:pPr>
            <w:r>
              <w:rPr>
                <w:rFonts w:hint="eastAsia" w:ascii="宋体" w:hAnsi="宋体" w:cs="宋体"/>
              </w:rPr>
              <w:t>招标文件第五章《技术需求书》中所有要求的内容 ，</w:t>
            </w:r>
            <w:r>
              <w:rPr>
                <w:rFonts w:ascii="宋体" w:hAnsi="宋体"/>
                <w:szCs w:val="21"/>
              </w:rPr>
              <w:t>以及：</w:t>
            </w:r>
          </w:p>
          <w:p w14:paraId="547D26D7">
            <w:pPr>
              <w:rPr>
                <w:rFonts w:ascii="宋体" w:hAnsi="宋体" w:cs="宋体"/>
              </w:rPr>
            </w:pPr>
          </w:p>
        </w:tc>
      </w:tr>
      <w:tr w14:paraId="0B1D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3326789A">
            <w:pPr>
              <w:jc w:val="center"/>
              <w:rPr>
                <w:rFonts w:ascii="宋体" w:hAnsi="宋体" w:cs="宋体"/>
              </w:rPr>
            </w:pPr>
            <w:r>
              <w:rPr>
                <w:rFonts w:hint="eastAsia" w:ascii="宋体" w:hAnsi="宋体" w:cs="宋体"/>
              </w:rPr>
              <w:t>包修期满后的服务价格</w:t>
            </w:r>
          </w:p>
        </w:tc>
        <w:tc>
          <w:tcPr>
            <w:tcW w:w="7960" w:type="dxa"/>
            <w:gridSpan w:val="4"/>
            <w:vAlign w:val="center"/>
          </w:tcPr>
          <w:p w14:paraId="3EA31693">
            <w:pPr>
              <w:rPr>
                <w:rFonts w:ascii="宋体" w:hAnsi="宋体" w:cs="宋体"/>
              </w:rPr>
            </w:pPr>
            <w:r>
              <w:rPr>
                <w:rFonts w:hint="eastAsia" w:ascii="宋体" w:hAnsi="宋体" w:cs="宋体"/>
              </w:rPr>
              <w:t>维保价格：</w:t>
            </w:r>
            <w:r>
              <w:rPr>
                <w:rFonts w:ascii="宋体" w:hAnsi="宋体"/>
              </w:rPr>
              <w:t>元/年</w:t>
            </w:r>
            <w:r>
              <w:rPr>
                <w:rFonts w:hint="eastAsia" w:ascii="宋体" w:hAnsi="宋体" w:cs="宋体"/>
                <w:b/>
                <w:szCs w:val="21"/>
              </w:rPr>
              <w:t>（年维保价格不得高于成交价格的5%）</w:t>
            </w:r>
          </w:p>
          <w:p w14:paraId="23B5E6FB">
            <w:pPr>
              <w:rPr>
                <w:rFonts w:ascii="宋体" w:hAnsi="宋体" w:cs="宋体"/>
              </w:rPr>
            </w:pPr>
            <w:r>
              <w:rPr>
                <w:rFonts w:hint="eastAsia" w:ascii="宋体" w:hAnsi="宋体" w:cs="宋体"/>
              </w:rPr>
              <w:t>包含内容：</w:t>
            </w:r>
            <w:r>
              <w:rPr>
                <w:rFonts w:hint="eastAsia" w:ascii="宋体" w:hAnsi="宋体" w:cs="宋体"/>
                <w:u w:val="single"/>
              </w:rPr>
              <w:t>按照包修期内的服务内容</w:t>
            </w:r>
          </w:p>
        </w:tc>
      </w:tr>
      <w:tr w14:paraId="4EA9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vAlign w:val="center"/>
          </w:tcPr>
          <w:p w14:paraId="0DA4F8DA">
            <w:pPr>
              <w:jc w:val="center"/>
              <w:rPr>
                <w:rFonts w:ascii="宋体" w:hAnsi="宋体" w:cs="宋体"/>
              </w:rPr>
            </w:pPr>
            <w:r>
              <w:rPr>
                <w:rFonts w:hint="eastAsia" w:ascii="宋体" w:hAnsi="宋体" w:cs="宋体"/>
              </w:rPr>
              <w:t>限价</w:t>
            </w:r>
          </w:p>
        </w:tc>
        <w:tc>
          <w:tcPr>
            <w:tcW w:w="7960" w:type="dxa"/>
            <w:gridSpan w:val="4"/>
            <w:vAlign w:val="center"/>
          </w:tcPr>
          <w:p w14:paraId="7436F48F">
            <w:pPr>
              <w:rPr>
                <w:rFonts w:ascii="宋体" w:hAnsi="宋体" w:cs="宋体"/>
              </w:rPr>
            </w:pPr>
            <w:r>
              <w:rPr>
                <w:rFonts w:hint="eastAsia" w:ascii="宋体" w:hAnsi="宋体" w:cs="宋体"/>
              </w:rPr>
              <w:t>项目总价不得高于人民币200000.00元（大写:贰拾万元）</w:t>
            </w:r>
          </w:p>
        </w:tc>
      </w:tr>
      <w:tr w14:paraId="6C51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8" w:type="dxa"/>
            <w:vAlign w:val="center"/>
          </w:tcPr>
          <w:p w14:paraId="3B8FF61A">
            <w:pPr>
              <w:jc w:val="center"/>
              <w:rPr>
                <w:rFonts w:ascii="宋体" w:hAnsi="宋体" w:cs="宋体"/>
              </w:rPr>
            </w:pPr>
            <w:r>
              <w:rPr>
                <w:rFonts w:hint="eastAsia" w:ascii="宋体" w:hAnsi="宋体" w:cs="宋体"/>
              </w:rPr>
              <w:t>备注</w:t>
            </w:r>
          </w:p>
        </w:tc>
        <w:tc>
          <w:tcPr>
            <w:tcW w:w="7960" w:type="dxa"/>
            <w:gridSpan w:val="4"/>
            <w:vAlign w:val="center"/>
          </w:tcPr>
          <w:p w14:paraId="0505E350">
            <w:pPr>
              <w:rPr>
                <w:rFonts w:ascii="宋体" w:hAnsi="宋体" w:cs="宋体"/>
              </w:rPr>
            </w:pPr>
            <w:r>
              <w:rPr>
                <w:rFonts w:hint="eastAsia"/>
              </w:rPr>
              <w:t>无</w:t>
            </w:r>
          </w:p>
        </w:tc>
      </w:tr>
    </w:tbl>
    <w:p w14:paraId="4E71C892">
      <w:pPr>
        <w:pStyle w:val="48"/>
        <w:jc w:val="center"/>
      </w:pPr>
    </w:p>
    <w:p w14:paraId="71261D90">
      <w:pPr>
        <w:spacing w:line="360" w:lineRule="auto"/>
        <w:jc w:val="right"/>
        <w:rPr>
          <w:szCs w:val="21"/>
        </w:rPr>
      </w:pPr>
      <w:r>
        <w:rPr>
          <w:rFonts w:hint="eastAsia"/>
          <w:szCs w:val="21"/>
        </w:rPr>
        <w:t>供应商：（盖单位公章）</w:t>
      </w:r>
    </w:p>
    <w:p w14:paraId="42E842C0">
      <w:pPr>
        <w:spacing w:line="360" w:lineRule="auto"/>
        <w:jc w:val="right"/>
      </w:pPr>
      <w:r>
        <w:rPr>
          <w:rFonts w:hint="eastAsia"/>
          <w:szCs w:val="21"/>
        </w:rPr>
        <w:t>法定</w:t>
      </w:r>
      <w:r>
        <w:rPr>
          <w:rFonts w:hint="eastAsia"/>
        </w:rPr>
        <w:t>代表</w:t>
      </w:r>
      <w:r>
        <w:rPr>
          <w:rFonts w:hint="eastAsia"/>
          <w:szCs w:val="21"/>
        </w:rPr>
        <w:t>人或其委托代理人：（</w:t>
      </w:r>
      <w:r>
        <w:rPr>
          <w:rFonts w:hint="eastAsia"/>
        </w:rPr>
        <w:t>签字</w:t>
      </w:r>
      <w:r>
        <w:rPr>
          <w:rFonts w:hint="eastAsia"/>
          <w:szCs w:val="21"/>
        </w:rPr>
        <w:t>）</w:t>
      </w:r>
    </w:p>
    <w:p w14:paraId="593B6D97">
      <w:pPr>
        <w:spacing w:line="360" w:lineRule="auto"/>
        <w:jc w:val="right"/>
        <w:rPr>
          <w:szCs w:val="21"/>
        </w:rPr>
      </w:pPr>
      <w:r>
        <w:rPr>
          <w:rFonts w:hint="eastAsia"/>
          <w:szCs w:val="21"/>
        </w:rPr>
        <w:t>年月日</w:t>
      </w:r>
    </w:p>
    <w:p w14:paraId="04B5EAEA">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14:paraId="67592F97">
      <w:pPr>
        <w:numPr>
          <w:ilvl w:val="255"/>
          <w:numId w:val="0"/>
        </w:numPr>
        <w:spacing w:line="360" w:lineRule="auto"/>
        <w:ind w:firstLine="630" w:firstLineChars="300"/>
        <w:rPr>
          <w:color w:val="000000"/>
        </w:rPr>
      </w:pPr>
      <w:r>
        <w:rPr>
          <w:rFonts w:hint="eastAsia"/>
          <w:color w:val="000000"/>
        </w:rPr>
        <w:t>2、</w:t>
      </w:r>
      <w:r>
        <w:rPr>
          <w:color w:val="000000"/>
        </w:rPr>
        <w:t>对包修期满后的服务，招标人有选择最终服务商的权利。</w:t>
      </w:r>
    </w:p>
    <w:p w14:paraId="592BA787">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14:paraId="23E46B3C">
      <w:pPr>
        <w:snapToGrid w:val="0"/>
        <w:spacing w:line="360" w:lineRule="auto"/>
        <w:ind w:firstLine="630" w:firstLineChars="300"/>
        <w:rPr>
          <w:szCs w:val="21"/>
        </w:rPr>
      </w:pPr>
      <w:r>
        <w:rPr>
          <w:rFonts w:hint="eastAsia"/>
          <w:szCs w:val="21"/>
        </w:rPr>
        <w:t>4、</w:t>
      </w:r>
      <w:r>
        <w:rPr>
          <w:szCs w:val="21"/>
        </w:rPr>
        <w:t>小数点保留两位。</w:t>
      </w:r>
    </w:p>
    <w:p w14:paraId="55E4357C">
      <w:pPr>
        <w:pStyle w:val="3"/>
        <w:spacing w:before="312" w:after="312"/>
        <w:rPr>
          <w:b/>
        </w:rPr>
      </w:pPr>
    </w:p>
    <w:bookmarkEnd w:id="72"/>
    <w:bookmarkEnd w:id="73"/>
    <w:bookmarkEnd w:id="74"/>
    <w:p w14:paraId="26AF0C74">
      <w:pPr>
        <w:pStyle w:val="3"/>
        <w:spacing w:before="312" w:after="312"/>
        <w:rPr>
          <w:u w:val="single"/>
        </w:rPr>
      </w:pPr>
      <w:bookmarkStart w:id="75" w:name="_Toc135999010"/>
      <w:bookmarkStart w:id="76" w:name="_Toc161767431"/>
      <w:bookmarkStart w:id="77" w:name="_Toc26260036"/>
      <w:bookmarkStart w:id="78" w:name="_Toc26259742"/>
      <w:bookmarkStart w:id="79" w:name="_Toc69378666"/>
      <w:bookmarkStart w:id="80" w:name="_Toc69378665"/>
      <w:bookmarkStart w:id="81" w:name="_Toc26259741"/>
      <w:bookmarkStart w:id="82" w:name="_Toc26260035"/>
      <w:r>
        <w:rPr>
          <w:rStyle w:val="106"/>
          <w:rFonts w:hint="eastAsia" w:hAnsi="宋体"/>
          <w:b w:val="0"/>
          <w:bCs w:val="0"/>
          <w:sz w:val="24"/>
          <w:szCs w:val="24"/>
        </w:rPr>
        <w:t>附件4：商务条款偏离表</w:t>
      </w:r>
      <w:bookmarkEnd w:id="75"/>
      <w:bookmarkEnd w:id="76"/>
      <w:bookmarkEnd w:id="77"/>
      <w:bookmarkEnd w:id="78"/>
      <w:bookmarkEnd w:id="79"/>
    </w:p>
    <w:p w14:paraId="0410CF95">
      <w:pPr>
        <w:spacing w:line="360" w:lineRule="auto"/>
        <w:rPr>
          <w:sz w:val="24"/>
        </w:rPr>
      </w:pPr>
      <w:r>
        <w:rPr>
          <w:sz w:val="24"/>
        </w:rPr>
        <w:t>项目名称：</w:t>
      </w:r>
      <w:r>
        <w:rPr>
          <w:rFonts w:hint="eastAsia"/>
          <w:sz w:val="24"/>
        </w:rPr>
        <w:t>O域系统适老化改造</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272B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00652AD3">
            <w:pPr>
              <w:snapToGrid w:val="0"/>
              <w:spacing w:beforeLines="100" w:afterLines="100"/>
              <w:ind w:right="210" w:rightChars="100"/>
              <w:jc w:val="center"/>
              <w:rPr>
                <w:rFonts w:ascii="宋体" w:hAnsi="宋体"/>
                <w:szCs w:val="21"/>
              </w:rPr>
            </w:pPr>
            <w:r>
              <w:rPr>
                <w:rFonts w:hint="eastAsia" w:ascii="宋体" w:hAnsi="宋体"/>
                <w:szCs w:val="21"/>
              </w:rPr>
              <w:t>序号</w:t>
            </w:r>
          </w:p>
        </w:tc>
        <w:tc>
          <w:tcPr>
            <w:tcW w:w="1041" w:type="pct"/>
          </w:tcPr>
          <w:p w14:paraId="50DAA58D">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14:paraId="533B814B">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14:paraId="5A2FDF9B">
            <w:pPr>
              <w:snapToGrid w:val="0"/>
              <w:spacing w:beforeLines="100"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14:paraId="37978253">
            <w:pPr>
              <w:snapToGrid w:val="0"/>
              <w:spacing w:beforeLines="100" w:afterLines="100"/>
              <w:ind w:left="210" w:leftChars="100" w:right="210" w:rightChars="100"/>
              <w:jc w:val="center"/>
              <w:rPr>
                <w:rFonts w:ascii="宋体" w:hAnsi="宋体"/>
                <w:szCs w:val="21"/>
              </w:rPr>
            </w:pPr>
            <w:r>
              <w:rPr>
                <w:rFonts w:hint="eastAsia" w:ascii="宋体" w:hAnsi="宋体"/>
                <w:szCs w:val="21"/>
              </w:rPr>
              <w:t>说明</w:t>
            </w:r>
          </w:p>
        </w:tc>
      </w:tr>
      <w:tr w14:paraId="549E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B8E20C3">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1C3AC55D">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557C9CD9">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7E8B739F">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08C1E3AE">
            <w:pPr>
              <w:snapToGrid w:val="0"/>
              <w:spacing w:beforeLines="100" w:afterLines="100"/>
              <w:ind w:left="210" w:leftChars="100" w:right="210" w:rightChars="100" w:firstLine="600" w:firstLineChars="200"/>
              <w:rPr>
                <w:rFonts w:ascii="宋体" w:hAnsi="宋体" w:eastAsia="黑体"/>
                <w:bCs/>
                <w:sz w:val="30"/>
                <w:szCs w:val="21"/>
              </w:rPr>
            </w:pPr>
          </w:p>
        </w:tc>
      </w:tr>
      <w:tr w14:paraId="7A12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746E5507">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6C50BCFA">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36F88A20">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7012CDC6">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1A08BC0F">
            <w:pPr>
              <w:snapToGrid w:val="0"/>
              <w:spacing w:beforeLines="100" w:afterLines="100"/>
              <w:ind w:left="210" w:leftChars="100" w:right="210" w:rightChars="100" w:firstLine="600" w:firstLineChars="200"/>
              <w:rPr>
                <w:rFonts w:ascii="宋体" w:hAnsi="宋体" w:eastAsia="黑体"/>
                <w:bCs/>
                <w:sz w:val="30"/>
                <w:szCs w:val="21"/>
              </w:rPr>
            </w:pPr>
          </w:p>
        </w:tc>
      </w:tr>
      <w:tr w14:paraId="2325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D273925">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7ED740B4">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482FF076">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7E16176D">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26B2F3D3">
            <w:pPr>
              <w:snapToGrid w:val="0"/>
              <w:spacing w:beforeLines="100" w:afterLines="100"/>
              <w:ind w:left="210" w:leftChars="100" w:right="210" w:rightChars="100" w:firstLine="600" w:firstLineChars="200"/>
              <w:rPr>
                <w:rFonts w:ascii="宋体" w:hAnsi="宋体" w:eastAsia="黑体"/>
                <w:bCs/>
                <w:sz w:val="30"/>
                <w:szCs w:val="21"/>
              </w:rPr>
            </w:pPr>
          </w:p>
        </w:tc>
      </w:tr>
      <w:tr w14:paraId="10E1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02AFB1F">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56B49002">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4F4858E7">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4BA9740E">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3996C4CC">
            <w:pPr>
              <w:snapToGrid w:val="0"/>
              <w:spacing w:beforeLines="100" w:afterLines="100"/>
              <w:ind w:left="210" w:leftChars="100" w:right="210" w:rightChars="100" w:firstLine="600" w:firstLineChars="200"/>
              <w:rPr>
                <w:rFonts w:ascii="宋体" w:hAnsi="宋体" w:eastAsia="黑体"/>
                <w:bCs/>
                <w:sz w:val="30"/>
                <w:szCs w:val="21"/>
              </w:rPr>
            </w:pPr>
          </w:p>
        </w:tc>
      </w:tr>
      <w:tr w14:paraId="6B25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A9E64FE">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56D9DC52">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6694C3AC">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64687297">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1277A096">
            <w:pPr>
              <w:snapToGrid w:val="0"/>
              <w:spacing w:beforeLines="100" w:afterLines="100"/>
              <w:ind w:left="210" w:leftChars="100" w:right="210" w:rightChars="100" w:firstLine="600" w:firstLineChars="200"/>
              <w:rPr>
                <w:rFonts w:ascii="宋体" w:hAnsi="宋体" w:eastAsia="黑体"/>
                <w:bCs/>
                <w:sz w:val="30"/>
                <w:szCs w:val="21"/>
              </w:rPr>
            </w:pPr>
          </w:p>
        </w:tc>
      </w:tr>
    </w:tbl>
    <w:p w14:paraId="317E361A">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1009D96F">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14:paraId="48BA8140">
      <w:pPr>
        <w:spacing w:line="360" w:lineRule="auto"/>
      </w:pPr>
      <w:r>
        <w:rPr>
          <w:rFonts w:hint="eastAsia"/>
        </w:rPr>
        <w:t>注：</w:t>
      </w:r>
      <w:r>
        <w:t xml:space="preserve">1. </w:t>
      </w:r>
      <w:r>
        <w:rPr>
          <w:rFonts w:hint="eastAsia"/>
        </w:rPr>
        <w:t>如供应商无任何偏离，也需在响应表中注明并在响应文件中递交此表。</w:t>
      </w:r>
    </w:p>
    <w:p w14:paraId="2DEA1C8C">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14:paraId="5EA8040E">
      <w:pPr>
        <w:widowControl/>
        <w:jc w:val="left"/>
        <w:rPr>
          <w:rStyle w:val="106"/>
          <w:rFonts w:hAnsi="宋体"/>
          <w:b w:val="0"/>
          <w:bCs w:val="0"/>
          <w:sz w:val="24"/>
          <w:szCs w:val="24"/>
        </w:rPr>
      </w:pPr>
      <w:r>
        <w:rPr>
          <w:rStyle w:val="106"/>
          <w:rFonts w:hAnsi="宋体"/>
          <w:b w:val="0"/>
          <w:sz w:val="24"/>
          <w:szCs w:val="24"/>
        </w:rPr>
        <w:br w:type="page"/>
      </w:r>
    </w:p>
    <w:bookmarkEnd w:id="80"/>
    <w:bookmarkEnd w:id="81"/>
    <w:bookmarkEnd w:id="82"/>
    <w:p w14:paraId="5C65F058">
      <w:pPr>
        <w:pStyle w:val="3"/>
        <w:spacing w:before="312" w:after="312"/>
        <w:rPr>
          <w:rStyle w:val="106"/>
          <w:rFonts w:hAnsi="宋体"/>
          <w:b w:val="0"/>
          <w:bCs w:val="0"/>
          <w:sz w:val="24"/>
          <w:szCs w:val="24"/>
        </w:rPr>
      </w:pPr>
      <w:bookmarkStart w:id="83" w:name="_Toc69378667"/>
      <w:bookmarkStart w:id="84" w:name="_Toc26260037"/>
      <w:bookmarkStart w:id="85" w:name="_Toc26259743"/>
      <w:r>
        <w:rPr>
          <w:rStyle w:val="106"/>
          <w:rFonts w:hint="eastAsia" w:hAnsi="宋体"/>
          <w:b w:val="0"/>
          <w:bCs w:val="0"/>
          <w:sz w:val="24"/>
          <w:szCs w:val="24"/>
        </w:rPr>
        <w:t>附件5：合同文本的提供</w:t>
      </w:r>
    </w:p>
    <w:p w14:paraId="23F0D396">
      <w:pPr>
        <w:rPr>
          <w:rStyle w:val="106"/>
          <w:rFonts w:hAnsi="宋体"/>
          <w:b w:val="0"/>
          <w:bCs w:val="0"/>
          <w:sz w:val="24"/>
          <w:szCs w:val="24"/>
        </w:rPr>
      </w:pPr>
      <w:r>
        <w:rPr>
          <w:rStyle w:val="106"/>
          <w:rFonts w:hint="eastAsia" w:hAnsi="宋体"/>
          <w:b w:val="0"/>
          <w:bCs w:val="0"/>
          <w:sz w:val="24"/>
          <w:szCs w:val="24"/>
        </w:rPr>
        <w:br w:type="page"/>
      </w:r>
    </w:p>
    <w:p w14:paraId="3EDC50FE">
      <w:pPr>
        <w:pStyle w:val="3"/>
        <w:spacing w:before="312" w:after="312"/>
        <w:rPr>
          <w:rStyle w:val="106"/>
          <w:bCs/>
          <w:sz w:val="24"/>
          <w:szCs w:val="24"/>
        </w:rPr>
      </w:pPr>
      <w:r>
        <w:rPr>
          <w:rStyle w:val="106"/>
          <w:rFonts w:hint="eastAsia" w:hAnsi="宋体"/>
          <w:b w:val="0"/>
          <w:bCs w:val="0"/>
          <w:sz w:val="24"/>
          <w:szCs w:val="24"/>
        </w:rPr>
        <w:t>附件6：技术规范偏离表</w:t>
      </w:r>
      <w:bookmarkEnd w:id="83"/>
      <w:bookmarkEnd w:id="84"/>
      <w:bookmarkEnd w:id="85"/>
    </w:p>
    <w:p w14:paraId="213080AD">
      <w:pPr>
        <w:spacing w:line="360" w:lineRule="auto"/>
        <w:rPr>
          <w:sz w:val="24"/>
        </w:rPr>
      </w:pPr>
      <w:r>
        <w:rPr>
          <w:sz w:val="24"/>
        </w:rPr>
        <w:t>项目名称：</w:t>
      </w:r>
      <w:r>
        <w:rPr>
          <w:rFonts w:hint="eastAsia"/>
          <w:sz w:val="24"/>
        </w:rPr>
        <w:t>O域系统适老化改造</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7A03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594BFEE5">
            <w:pPr>
              <w:spacing w:line="360" w:lineRule="auto"/>
              <w:rPr>
                <w:rFonts w:ascii="宋体" w:hAnsi="宋体"/>
                <w:szCs w:val="21"/>
              </w:rPr>
            </w:pPr>
            <w:r>
              <w:rPr>
                <w:rFonts w:hint="eastAsia" w:ascii="宋体" w:hAnsi="宋体"/>
                <w:szCs w:val="21"/>
              </w:rPr>
              <w:t xml:space="preserve"> 序号</w:t>
            </w:r>
          </w:p>
        </w:tc>
        <w:tc>
          <w:tcPr>
            <w:tcW w:w="1673" w:type="pct"/>
            <w:vAlign w:val="center"/>
          </w:tcPr>
          <w:p w14:paraId="5116DD6C">
            <w:pPr>
              <w:snapToGrid w:val="0"/>
              <w:spacing w:beforeLines="100"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14:paraId="1CB6BFF8">
            <w:pPr>
              <w:snapToGrid w:val="0"/>
              <w:spacing w:beforeLines="100"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14:paraId="76F09399">
            <w:pPr>
              <w:snapToGrid w:val="0"/>
              <w:spacing w:beforeLines="100" w:afterLines="100"/>
              <w:ind w:right="210" w:rightChars="100"/>
              <w:jc w:val="center"/>
              <w:rPr>
                <w:rFonts w:ascii="宋体" w:hAnsi="宋体"/>
                <w:szCs w:val="21"/>
              </w:rPr>
            </w:pPr>
            <w:r>
              <w:rPr>
                <w:rFonts w:hint="eastAsia" w:ascii="宋体" w:hAnsi="宋体"/>
                <w:szCs w:val="21"/>
              </w:rPr>
              <w:t>具体说明</w:t>
            </w:r>
          </w:p>
        </w:tc>
      </w:tr>
      <w:tr w14:paraId="0AC5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AB90F67">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0C1D9E0F">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7CAB4365">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5196DD3D">
            <w:pPr>
              <w:snapToGrid w:val="0"/>
              <w:spacing w:beforeLines="100" w:afterLines="100"/>
              <w:ind w:left="210" w:leftChars="100" w:right="210" w:rightChars="100" w:firstLine="600" w:firstLineChars="200"/>
              <w:rPr>
                <w:rFonts w:ascii="宋体" w:hAnsi="宋体" w:eastAsia="黑体"/>
                <w:bCs/>
                <w:sz w:val="30"/>
                <w:szCs w:val="21"/>
              </w:rPr>
            </w:pPr>
          </w:p>
        </w:tc>
      </w:tr>
      <w:tr w14:paraId="14F5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178ADCF">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0B28D12A">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4BD07625">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133B9C4A">
            <w:pPr>
              <w:snapToGrid w:val="0"/>
              <w:spacing w:beforeLines="100" w:afterLines="100"/>
              <w:ind w:left="210" w:leftChars="100" w:right="210" w:rightChars="100" w:firstLine="600" w:firstLineChars="200"/>
              <w:rPr>
                <w:rFonts w:ascii="宋体" w:hAnsi="宋体" w:eastAsia="黑体"/>
                <w:bCs/>
                <w:sz w:val="30"/>
                <w:szCs w:val="21"/>
              </w:rPr>
            </w:pPr>
          </w:p>
        </w:tc>
      </w:tr>
      <w:tr w14:paraId="4F65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D2BF982">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04ED55AB">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177698D">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69D4BEF">
            <w:pPr>
              <w:snapToGrid w:val="0"/>
              <w:spacing w:beforeLines="100" w:afterLines="100"/>
              <w:ind w:left="210" w:leftChars="100" w:right="210" w:rightChars="100" w:firstLine="600" w:firstLineChars="200"/>
              <w:rPr>
                <w:rFonts w:ascii="宋体" w:hAnsi="宋体" w:eastAsia="黑体"/>
                <w:bCs/>
                <w:sz w:val="30"/>
                <w:szCs w:val="21"/>
              </w:rPr>
            </w:pPr>
          </w:p>
        </w:tc>
      </w:tr>
      <w:tr w14:paraId="7EA7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BB4B083">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30963B36">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1177665">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70E3B6D3">
            <w:pPr>
              <w:snapToGrid w:val="0"/>
              <w:spacing w:beforeLines="100" w:afterLines="100"/>
              <w:ind w:left="210" w:leftChars="100" w:right="210" w:rightChars="100" w:firstLine="600" w:firstLineChars="200"/>
              <w:rPr>
                <w:rFonts w:ascii="宋体" w:hAnsi="宋体" w:eastAsia="黑体"/>
                <w:bCs/>
                <w:sz w:val="30"/>
                <w:szCs w:val="21"/>
              </w:rPr>
            </w:pPr>
          </w:p>
        </w:tc>
      </w:tr>
      <w:tr w14:paraId="6D0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4A2EDD33">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5D412969">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905A4F3">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7944D609">
            <w:pPr>
              <w:snapToGrid w:val="0"/>
              <w:spacing w:beforeLines="100" w:afterLines="100"/>
              <w:ind w:left="210" w:leftChars="100" w:right="210" w:rightChars="100" w:firstLine="600" w:firstLineChars="200"/>
              <w:rPr>
                <w:rFonts w:ascii="宋体" w:hAnsi="宋体" w:eastAsia="黑体"/>
                <w:bCs/>
                <w:sz w:val="30"/>
                <w:szCs w:val="21"/>
              </w:rPr>
            </w:pPr>
          </w:p>
        </w:tc>
      </w:tr>
      <w:tr w14:paraId="1101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978510B">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45386505">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1226C3D5">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0074CCBC">
            <w:pPr>
              <w:snapToGrid w:val="0"/>
              <w:spacing w:beforeLines="100" w:afterLines="100"/>
              <w:ind w:left="210" w:leftChars="100" w:right="210" w:rightChars="100" w:firstLine="600" w:firstLineChars="200"/>
              <w:rPr>
                <w:rFonts w:ascii="宋体" w:hAnsi="宋体" w:eastAsia="黑体"/>
                <w:bCs/>
                <w:sz w:val="30"/>
                <w:szCs w:val="21"/>
              </w:rPr>
            </w:pPr>
          </w:p>
        </w:tc>
      </w:tr>
      <w:tr w14:paraId="7114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AE83227">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1F441047">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07F89386">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2D1923DB">
            <w:pPr>
              <w:snapToGrid w:val="0"/>
              <w:spacing w:beforeLines="100" w:afterLines="100"/>
              <w:ind w:left="210" w:leftChars="100" w:right="210" w:rightChars="100" w:firstLine="600" w:firstLineChars="200"/>
              <w:rPr>
                <w:rFonts w:ascii="宋体" w:hAnsi="宋体" w:eastAsia="黑体"/>
                <w:bCs/>
                <w:sz w:val="30"/>
                <w:szCs w:val="21"/>
              </w:rPr>
            </w:pPr>
          </w:p>
        </w:tc>
      </w:tr>
      <w:tr w14:paraId="18DA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7DB28EA">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3A051E60">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69F34211">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53BCF9F2">
            <w:pPr>
              <w:snapToGrid w:val="0"/>
              <w:spacing w:beforeLines="100" w:afterLines="100"/>
              <w:ind w:left="210" w:leftChars="100" w:right="210" w:rightChars="100" w:firstLine="600" w:firstLineChars="200"/>
              <w:rPr>
                <w:rFonts w:ascii="宋体" w:hAnsi="宋体" w:eastAsia="黑体"/>
                <w:bCs/>
                <w:sz w:val="30"/>
                <w:szCs w:val="21"/>
              </w:rPr>
            </w:pPr>
          </w:p>
        </w:tc>
      </w:tr>
      <w:tr w14:paraId="55B9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3EB2D94">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248B967B">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C241E07">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2B37CE22">
            <w:pPr>
              <w:snapToGrid w:val="0"/>
              <w:spacing w:beforeLines="100" w:afterLines="100"/>
              <w:ind w:left="210" w:leftChars="100" w:right="210" w:rightChars="100" w:firstLine="600" w:firstLineChars="200"/>
              <w:rPr>
                <w:rFonts w:ascii="宋体" w:hAnsi="宋体" w:eastAsia="黑体"/>
                <w:bCs/>
                <w:sz w:val="30"/>
                <w:szCs w:val="21"/>
              </w:rPr>
            </w:pPr>
          </w:p>
        </w:tc>
      </w:tr>
    </w:tbl>
    <w:p w14:paraId="0C074A92">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4F21232F">
      <w:pPr>
        <w:snapToGrid w:val="0"/>
        <w:spacing w:beforeLines="100" w:afterLines="100"/>
        <w:ind w:left="210" w:leftChars="100" w:right="210" w:rightChars="100" w:firstLine="420" w:firstLineChars="200"/>
        <w:rPr>
          <w:rFonts w:ascii="宋体" w:hAnsi="宋体"/>
          <w:i/>
          <w:szCs w:val="21"/>
        </w:rPr>
      </w:pPr>
      <w:r>
        <w:rPr>
          <w:rFonts w:hint="eastAsia" w:ascii="宋体" w:hAnsi="宋体"/>
          <w:szCs w:val="21"/>
        </w:rPr>
        <w:t>供应商代表签字：</w:t>
      </w:r>
    </w:p>
    <w:p w14:paraId="5F26A426">
      <w:pPr>
        <w:spacing w:line="360" w:lineRule="auto"/>
      </w:pPr>
      <w:r>
        <w:rPr>
          <w:rFonts w:hint="eastAsia"/>
        </w:rPr>
        <w:t>注：</w:t>
      </w:r>
      <w:r>
        <w:t>1.</w:t>
      </w:r>
      <w:r>
        <w:rPr>
          <w:rFonts w:hint="eastAsia"/>
        </w:rPr>
        <w:t>本表应依据供应商实际情况逐项逐条填写。</w:t>
      </w:r>
    </w:p>
    <w:p w14:paraId="2F444B5D">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6FF5FBB3">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14:paraId="48D99D58">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14:paraId="79AD6AA2">
      <w:pPr>
        <w:pStyle w:val="3"/>
        <w:spacing w:before="312" w:after="312"/>
        <w:rPr>
          <w:rStyle w:val="106"/>
          <w:b w:val="0"/>
          <w:bCs w:val="0"/>
          <w:sz w:val="24"/>
          <w:szCs w:val="24"/>
        </w:rPr>
      </w:pPr>
      <w:r>
        <w:br w:type="page"/>
      </w:r>
      <w:bookmarkStart w:id="86" w:name="_Toc69378668"/>
      <w:bookmarkStart w:id="87" w:name="_Toc135999012"/>
      <w:bookmarkStart w:id="88" w:name="_Toc26259744"/>
      <w:bookmarkStart w:id="89" w:name="_Toc26260038"/>
      <w:bookmarkStart w:id="90" w:name="_Toc161767433"/>
      <w:r>
        <w:rPr>
          <w:rStyle w:val="106"/>
          <w:rFonts w:hint="eastAsia" w:hAnsi="宋体"/>
          <w:b w:val="0"/>
          <w:bCs w:val="0"/>
          <w:sz w:val="24"/>
          <w:szCs w:val="24"/>
        </w:rPr>
        <w:t>附件7：资格证明文件</w:t>
      </w:r>
      <w:bookmarkEnd w:id="86"/>
      <w:bookmarkEnd w:id="87"/>
      <w:bookmarkEnd w:id="88"/>
      <w:bookmarkEnd w:id="89"/>
      <w:bookmarkEnd w:id="90"/>
    </w:p>
    <w:p w14:paraId="3C4C9767">
      <w:r>
        <w:rPr>
          <w:rFonts w:hint="eastAsia"/>
        </w:rPr>
        <w:t>填写须知</w:t>
      </w:r>
    </w:p>
    <w:p w14:paraId="2D9E83F0">
      <w:pPr>
        <w:numPr>
          <w:ilvl w:val="0"/>
          <w:numId w:val="16"/>
        </w:numPr>
        <w:spacing w:line="360" w:lineRule="auto"/>
        <w:rPr>
          <w:rFonts w:ascii="宋体"/>
          <w:szCs w:val="21"/>
        </w:rPr>
      </w:pPr>
      <w:r>
        <w:rPr>
          <w:rFonts w:hint="eastAsia" w:ascii="宋体"/>
          <w:szCs w:val="21"/>
        </w:rPr>
        <w:t>供应商应填写和提交下述规定的全部格式以及其它有关资料。</w:t>
      </w:r>
    </w:p>
    <w:p w14:paraId="5EE50418">
      <w:pPr>
        <w:numPr>
          <w:ilvl w:val="0"/>
          <w:numId w:val="1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14:paraId="3A3049C3">
      <w:pPr>
        <w:numPr>
          <w:ilvl w:val="0"/>
          <w:numId w:val="16"/>
        </w:numPr>
        <w:spacing w:line="360" w:lineRule="auto"/>
        <w:rPr>
          <w:rFonts w:ascii="宋体"/>
          <w:szCs w:val="21"/>
        </w:rPr>
      </w:pPr>
      <w:r>
        <w:rPr>
          <w:rFonts w:hint="eastAsia" w:ascii="宋体"/>
          <w:szCs w:val="21"/>
        </w:rPr>
        <w:t>本资格声明的签字人应保证全部声明和填写的内容是真实的和正确的。</w:t>
      </w:r>
    </w:p>
    <w:p w14:paraId="4F98ABF5">
      <w:pPr>
        <w:numPr>
          <w:ilvl w:val="0"/>
          <w:numId w:val="1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14:paraId="5C31A5BD">
      <w:pPr>
        <w:numPr>
          <w:ilvl w:val="0"/>
          <w:numId w:val="16"/>
        </w:numPr>
        <w:spacing w:line="360" w:lineRule="auto"/>
        <w:rPr>
          <w:rFonts w:ascii="宋体"/>
          <w:szCs w:val="21"/>
        </w:rPr>
      </w:pPr>
      <w:r>
        <w:rPr>
          <w:rFonts w:hint="eastAsia" w:ascii="宋体"/>
          <w:szCs w:val="21"/>
        </w:rPr>
        <w:t>供应商提交的材料将被保密，但不退还。</w:t>
      </w:r>
    </w:p>
    <w:p w14:paraId="73552E97">
      <w:pPr>
        <w:numPr>
          <w:ilvl w:val="0"/>
          <w:numId w:val="16"/>
        </w:numPr>
        <w:spacing w:line="360" w:lineRule="auto"/>
        <w:rPr>
          <w:rFonts w:ascii="宋体"/>
          <w:szCs w:val="21"/>
        </w:rPr>
      </w:pPr>
      <w:r>
        <w:rPr>
          <w:rFonts w:hint="eastAsia" w:ascii="宋体"/>
          <w:szCs w:val="21"/>
        </w:rPr>
        <w:t>全部文件应按规定的语言和份数提交。</w:t>
      </w:r>
    </w:p>
    <w:p w14:paraId="3D984DE7">
      <w:pPr>
        <w:snapToGrid w:val="0"/>
        <w:spacing w:beforeLines="100" w:afterLines="100"/>
        <w:ind w:left="210" w:leftChars="100" w:right="210" w:rightChars="100" w:firstLine="420" w:firstLineChars="200"/>
        <w:rPr>
          <w:rFonts w:ascii="宋体"/>
        </w:rPr>
      </w:pPr>
    </w:p>
    <w:p w14:paraId="3FF69028">
      <w:pPr>
        <w:snapToGrid w:val="0"/>
        <w:spacing w:beforeLines="100" w:afterLines="100"/>
        <w:ind w:right="210" w:rightChars="100"/>
        <w:outlineLvl w:val="3"/>
        <w:rPr>
          <w:rFonts w:ascii="黑体" w:eastAsia="黑体"/>
          <w:b/>
        </w:rPr>
      </w:pPr>
      <w:r>
        <w:rPr>
          <w:rFonts w:ascii="宋体"/>
        </w:rPr>
        <w:br w:type="page"/>
      </w:r>
      <w:r>
        <w:rPr>
          <w:rFonts w:hint="eastAsia" w:ascii="黑体" w:eastAsia="黑体"/>
          <w:b/>
        </w:rPr>
        <w:t>7-1  资格声明</w:t>
      </w:r>
    </w:p>
    <w:p w14:paraId="5148C4E2">
      <w:pPr>
        <w:snapToGrid w:val="0"/>
        <w:spacing w:beforeLines="100" w:afterLines="100"/>
        <w:ind w:right="210" w:rightChars="100"/>
        <w:rPr>
          <w:rFonts w:ascii="宋体" w:hAnsi="宋体"/>
          <w:szCs w:val="21"/>
        </w:rPr>
      </w:pPr>
      <w:r>
        <w:rPr>
          <w:rFonts w:hint="eastAsia" w:ascii="宋体" w:hAnsi="宋体"/>
          <w:szCs w:val="21"/>
        </w:rPr>
        <w:t>致：江苏省广电有线信息网络股份有限公司：</w:t>
      </w:r>
    </w:p>
    <w:p w14:paraId="492143C1">
      <w:pPr>
        <w:snapToGrid w:val="0"/>
        <w:spacing w:beforeLines="100"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14:paraId="316F1F11">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016F9517">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25642E10">
      <w:pPr>
        <w:numPr>
          <w:ilvl w:val="0"/>
          <w:numId w:val="1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209338DC">
      <w:pPr>
        <w:numPr>
          <w:ilvl w:val="0"/>
          <w:numId w:val="1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60449E24">
      <w:pPr>
        <w:numPr>
          <w:ilvl w:val="0"/>
          <w:numId w:val="1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006E2B38">
      <w:pPr>
        <w:spacing w:line="360" w:lineRule="auto"/>
        <w:rPr>
          <w:color w:val="000000"/>
        </w:rPr>
      </w:pPr>
      <w:r>
        <w:rPr>
          <w:rFonts w:hint="eastAsia"/>
          <w:b/>
          <w:color w:val="000000"/>
        </w:rPr>
        <w:t>供应商</w:t>
      </w:r>
      <w:r>
        <w:rPr>
          <w:color w:val="000000"/>
        </w:rPr>
        <w:t>授权签署本资格文件</w:t>
      </w:r>
    </w:p>
    <w:p w14:paraId="25C05E60">
      <w:pPr>
        <w:spacing w:line="360" w:lineRule="auto"/>
        <w:rPr>
          <w:color w:val="000000"/>
        </w:rPr>
      </w:pPr>
      <w:r>
        <w:rPr>
          <w:color w:val="000000"/>
        </w:rPr>
        <w:t>名称（盖章）签字人姓名、职务（印刷字体）</w:t>
      </w:r>
    </w:p>
    <w:p w14:paraId="733BB595">
      <w:pPr>
        <w:spacing w:line="360" w:lineRule="auto"/>
        <w:rPr>
          <w:color w:val="000000"/>
        </w:rPr>
      </w:pPr>
      <w:r>
        <w:rPr>
          <w:color w:val="000000"/>
        </w:rPr>
        <w:t>地址</w:t>
      </w:r>
    </w:p>
    <w:p w14:paraId="0166FC16">
      <w:pPr>
        <w:spacing w:line="360" w:lineRule="auto"/>
        <w:rPr>
          <w:color w:val="000000"/>
          <w:u w:val="single"/>
        </w:rPr>
      </w:pPr>
      <w:r>
        <w:rPr>
          <w:color w:val="000000"/>
        </w:rPr>
        <w:t>传真签字</w:t>
      </w:r>
    </w:p>
    <w:p w14:paraId="29321BEC">
      <w:pPr>
        <w:spacing w:line="360" w:lineRule="auto"/>
        <w:rPr>
          <w:rFonts w:ascii="宋体"/>
          <w:u w:val="single"/>
        </w:rPr>
      </w:pPr>
      <w:r>
        <w:rPr>
          <w:color w:val="000000"/>
        </w:rPr>
        <w:t>邮编电话</w:t>
      </w:r>
    </w:p>
    <w:p w14:paraId="12B0BBEA">
      <w:pPr>
        <w:snapToGrid w:val="0"/>
        <w:spacing w:beforeLines="100" w:afterLines="100"/>
        <w:ind w:right="210" w:rightChars="100"/>
        <w:outlineLvl w:val="3"/>
        <w:rPr>
          <w:rFonts w:ascii="黑体" w:eastAsia="黑体"/>
          <w:b/>
        </w:rPr>
      </w:pPr>
      <w:r>
        <w:rPr>
          <w:rFonts w:ascii="宋体"/>
          <w:u w:val="single"/>
        </w:rPr>
        <w:br w:type="page"/>
      </w:r>
      <w:r>
        <w:rPr>
          <w:rFonts w:hint="eastAsia" w:ascii="黑体" w:eastAsia="黑体"/>
          <w:b/>
        </w:rPr>
        <w:t>7-2  供应商的资格声明</w:t>
      </w:r>
    </w:p>
    <w:p w14:paraId="488434FA">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1E5E8886">
      <w:pPr>
        <w:numPr>
          <w:ilvl w:val="0"/>
          <w:numId w:val="18"/>
        </w:numPr>
        <w:spacing w:line="360" w:lineRule="auto"/>
        <w:rPr>
          <w:rFonts w:ascii="宋体" w:hAnsi="宋体"/>
          <w:szCs w:val="21"/>
          <w:u w:val="single"/>
        </w:rPr>
      </w:pPr>
      <w:r>
        <w:rPr>
          <w:rFonts w:hint="eastAsia" w:ascii="宋体" w:hAnsi="宋体"/>
          <w:szCs w:val="21"/>
        </w:rPr>
        <w:t>供应商名称：</w:t>
      </w:r>
    </w:p>
    <w:p w14:paraId="3A257A95">
      <w:pPr>
        <w:numPr>
          <w:ilvl w:val="0"/>
          <w:numId w:val="18"/>
        </w:numPr>
        <w:spacing w:line="360" w:lineRule="auto"/>
        <w:rPr>
          <w:rFonts w:ascii="宋体" w:hAnsi="宋体"/>
          <w:szCs w:val="21"/>
        </w:rPr>
      </w:pPr>
      <w:r>
        <w:rPr>
          <w:rFonts w:hint="eastAsia" w:ascii="宋体" w:hAnsi="宋体"/>
          <w:szCs w:val="21"/>
        </w:rPr>
        <w:t>总部地址：</w:t>
      </w:r>
    </w:p>
    <w:p w14:paraId="2E6DBDD3">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0B70A15E">
      <w:pPr>
        <w:numPr>
          <w:ilvl w:val="0"/>
          <w:numId w:val="1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0D4B75D8">
      <w:pPr>
        <w:numPr>
          <w:ilvl w:val="0"/>
          <w:numId w:val="18"/>
        </w:numPr>
        <w:spacing w:line="360" w:lineRule="auto"/>
        <w:rPr>
          <w:rFonts w:ascii="宋体" w:hAnsi="宋体"/>
          <w:szCs w:val="21"/>
        </w:rPr>
      </w:pPr>
      <w:r>
        <w:rPr>
          <w:rFonts w:hint="eastAsia" w:ascii="宋体" w:hAnsi="宋体"/>
          <w:szCs w:val="21"/>
        </w:rPr>
        <w:t>实收资本：</w:t>
      </w:r>
    </w:p>
    <w:p w14:paraId="0359132B">
      <w:pPr>
        <w:numPr>
          <w:ilvl w:val="0"/>
          <w:numId w:val="18"/>
        </w:numPr>
        <w:spacing w:line="360" w:lineRule="auto"/>
        <w:rPr>
          <w:rFonts w:ascii="宋体" w:hAnsi="宋体"/>
          <w:szCs w:val="21"/>
        </w:rPr>
      </w:pPr>
      <w:r>
        <w:rPr>
          <w:rFonts w:hint="eastAsia" w:ascii="宋体" w:hAnsi="宋体"/>
          <w:szCs w:val="21"/>
        </w:rPr>
        <w:t>近期资产负债表（到年月日止）</w:t>
      </w:r>
    </w:p>
    <w:p w14:paraId="3FFBE64E">
      <w:pPr>
        <w:spacing w:line="360" w:lineRule="auto"/>
        <w:ind w:firstLine="420" w:firstLineChars="200"/>
        <w:rPr>
          <w:rFonts w:ascii="宋体" w:hAnsi="宋体"/>
          <w:szCs w:val="21"/>
        </w:rPr>
      </w:pPr>
      <w:r>
        <w:rPr>
          <w:rFonts w:ascii="宋体" w:hAnsi="宋体"/>
          <w:szCs w:val="21"/>
        </w:rPr>
        <w:tab/>
      </w:r>
      <w:r>
        <w:rPr>
          <w:rFonts w:ascii="宋体" w:hAnsi="宋体"/>
          <w:szCs w:val="21"/>
        </w:rPr>
        <w:t>1</w:t>
      </w:r>
      <w:r>
        <w:rPr>
          <w:rFonts w:hint="eastAsia" w:ascii="宋体" w:hAnsi="宋体"/>
          <w:szCs w:val="21"/>
        </w:rPr>
        <w:t>）固定资产：</w:t>
      </w:r>
    </w:p>
    <w:p w14:paraId="030E6AE7">
      <w:pPr>
        <w:spacing w:line="360" w:lineRule="auto"/>
        <w:ind w:firstLine="420" w:firstLineChars="200"/>
        <w:rPr>
          <w:rFonts w:ascii="宋体" w:hAnsi="宋体"/>
          <w:szCs w:val="21"/>
        </w:rPr>
      </w:pPr>
      <w:r>
        <w:rPr>
          <w:rFonts w:ascii="宋体" w:hAnsi="宋体"/>
          <w:szCs w:val="21"/>
        </w:rPr>
        <w:tab/>
      </w:r>
      <w:r>
        <w:rPr>
          <w:rFonts w:ascii="宋体" w:hAnsi="宋体"/>
          <w:szCs w:val="21"/>
        </w:rPr>
        <w:t>2</w:t>
      </w:r>
      <w:r>
        <w:rPr>
          <w:rFonts w:hint="eastAsia" w:ascii="宋体" w:hAnsi="宋体"/>
          <w:szCs w:val="21"/>
        </w:rPr>
        <w:t>）流动资产：</w:t>
      </w:r>
    </w:p>
    <w:p w14:paraId="723FF399">
      <w:pPr>
        <w:spacing w:line="360" w:lineRule="auto"/>
        <w:ind w:firstLine="420" w:firstLineChars="200"/>
        <w:rPr>
          <w:rFonts w:ascii="宋体" w:hAnsi="宋体"/>
          <w:szCs w:val="21"/>
        </w:rPr>
      </w:pPr>
      <w:r>
        <w:rPr>
          <w:rFonts w:ascii="宋体" w:hAnsi="宋体"/>
          <w:szCs w:val="21"/>
        </w:rPr>
        <w:tab/>
      </w:r>
      <w:r>
        <w:rPr>
          <w:rFonts w:ascii="宋体" w:hAnsi="宋体"/>
          <w:szCs w:val="21"/>
        </w:rPr>
        <w:t>3</w:t>
      </w:r>
      <w:r>
        <w:rPr>
          <w:rFonts w:hint="eastAsia" w:ascii="宋体" w:hAnsi="宋体"/>
          <w:szCs w:val="21"/>
        </w:rPr>
        <w:t>）长期负债：</w:t>
      </w:r>
    </w:p>
    <w:p w14:paraId="465BCFE4">
      <w:pPr>
        <w:spacing w:line="360" w:lineRule="auto"/>
        <w:ind w:firstLine="420" w:firstLineChars="200"/>
        <w:rPr>
          <w:rFonts w:ascii="宋体" w:hAnsi="宋体"/>
          <w:szCs w:val="21"/>
        </w:rPr>
      </w:pPr>
      <w:r>
        <w:rPr>
          <w:rFonts w:ascii="宋体" w:hAnsi="宋体"/>
          <w:szCs w:val="21"/>
        </w:rPr>
        <w:tab/>
      </w:r>
      <w:r>
        <w:rPr>
          <w:rFonts w:ascii="宋体" w:hAnsi="宋体"/>
          <w:szCs w:val="21"/>
        </w:rPr>
        <w:t>4</w:t>
      </w:r>
      <w:r>
        <w:rPr>
          <w:rFonts w:hint="eastAsia" w:ascii="宋体" w:hAnsi="宋体"/>
          <w:szCs w:val="21"/>
        </w:rPr>
        <w:t>）流动负债：</w:t>
      </w:r>
    </w:p>
    <w:p w14:paraId="1E330823">
      <w:pPr>
        <w:spacing w:line="360" w:lineRule="auto"/>
        <w:ind w:firstLine="420" w:firstLineChars="200"/>
        <w:rPr>
          <w:rFonts w:ascii="宋体" w:hAnsi="宋体"/>
          <w:szCs w:val="21"/>
        </w:rPr>
      </w:pPr>
      <w:r>
        <w:rPr>
          <w:rFonts w:ascii="宋体" w:hAnsi="宋体"/>
          <w:szCs w:val="21"/>
        </w:rPr>
        <w:tab/>
      </w:r>
      <w:r>
        <w:rPr>
          <w:rFonts w:ascii="宋体" w:hAnsi="宋体"/>
          <w:szCs w:val="21"/>
        </w:rPr>
        <w:t>5</w:t>
      </w:r>
      <w:r>
        <w:rPr>
          <w:rFonts w:hint="eastAsia" w:ascii="宋体" w:hAnsi="宋体"/>
          <w:szCs w:val="21"/>
        </w:rPr>
        <w:t>）净值：</w:t>
      </w:r>
    </w:p>
    <w:p w14:paraId="298BFF2F">
      <w:pPr>
        <w:numPr>
          <w:ilvl w:val="0"/>
          <w:numId w:val="18"/>
        </w:numPr>
        <w:spacing w:line="360" w:lineRule="auto"/>
        <w:rPr>
          <w:rFonts w:ascii="宋体" w:hAnsi="宋体"/>
          <w:szCs w:val="21"/>
          <w:u w:val="single"/>
        </w:rPr>
      </w:pPr>
      <w:r>
        <w:rPr>
          <w:rFonts w:hint="eastAsia" w:ascii="宋体" w:hAnsi="宋体"/>
          <w:szCs w:val="21"/>
        </w:rPr>
        <w:t>主要负责人姓名：（可选填）</w:t>
      </w:r>
    </w:p>
    <w:p w14:paraId="7E42EFBB">
      <w:pPr>
        <w:numPr>
          <w:ilvl w:val="0"/>
          <w:numId w:val="18"/>
        </w:numPr>
        <w:spacing w:line="360" w:lineRule="auto"/>
        <w:rPr>
          <w:rFonts w:ascii="宋体" w:hAnsi="宋体"/>
          <w:szCs w:val="21"/>
        </w:rPr>
      </w:pPr>
      <w:r>
        <w:rPr>
          <w:rFonts w:hint="eastAsia" w:ascii="宋体" w:hAnsi="宋体"/>
          <w:szCs w:val="21"/>
        </w:rPr>
        <w:t>供应商在中国的代表的姓名和地址：（可选填）</w:t>
      </w:r>
    </w:p>
    <w:p w14:paraId="00E60D50">
      <w:pPr>
        <w:numPr>
          <w:ilvl w:val="0"/>
          <w:numId w:val="1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68910443">
      <w:pPr>
        <w:numPr>
          <w:ilvl w:val="0"/>
          <w:numId w:val="1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31E6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234F740">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60845B6D">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17BFB65F">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0FFAEEB5">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31ED58E2">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770963E7">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31FB2B77">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57A5B054">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5737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4A41570">
            <w:pPr>
              <w:tabs>
                <w:tab w:val="left" w:pos="930"/>
                <w:tab w:val="left" w:pos="8364"/>
              </w:tabs>
              <w:ind w:right="-58"/>
              <w:jc w:val="center"/>
              <w:rPr>
                <w:rFonts w:ascii="宋体" w:hAnsi="宋体"/>
                <w:spacing w:val="20"/>
                <w:szCs w:val="21"/>
              </w:rPr>
            </w:pPr>
          </w:p>
        </w:tc>
        <w:tc>
          <w:tcPr>
            <w:tcW w:w="1088" w:type="dxa"/>
          </w:tcPr>
          <w:p w14:paraId="016D51F8">
            <w:pPr>
              <w:tabs>
                <w:tab w:val="left" w:pos="930"/>
                <w:tab w:val="left" w:pos="8364"/>
              </w:tabs>
              <w:ind w:right="-58"/>
              <w:rPr>
                <w:rFonts w:ascii="宋体" w:hAnsi="宋体"/>
                <w:spacing w:val="20"/>
                <w:szCs w:val="21"/>
              </w:rPr>
            </w:pPr>
          </w:p>
        </w:tc>
        <w:tc>
          <w:tcPr>
            <w:tcW w:w="3978" w:type="dxa"/>
          </w:tcPr>
          <w:p w14:paraId="7FA60EA6">
            <w:pPr>
              <w:tabs>
                <w:tab w:val="left" w:pos="930"/>
                <w:tab w:val="left" w:pos="8364"/>
              </w:tabs>
              <w:ind w:right="-58"/>
              <w:rPr>
                <w:rFonts w:ascii="宋体" w:hAnsi="宋体"/>
                <w:spacing w:val="20"/>
                <w:szCs w:val="21"/>
              </w:rPr>
            </w:pPr>
          </w:p>
        </w:tc>
        <w:tc>
          <w:tcPr>
            <w:tcW w:w="1155" w:type="dxa"/>
          </w:tcPr>
          <w:p w14:paraId="32C78FDD">
            <w:pPr>
              <w:tabs>
                <w:tab w:val="left" w:pos="930"/>
                <w:tab w:val="left" w:pos="8364"/>
              </w:tabs>
              <w:ind w:right="-58"/>
              <w:rPr>
                <w:rFonts w:ascii="宋体" w:hAnsi="宋体"/>
                <w:spacing w:val="20"/>
                <w:szCs w:val="21"/>
              </w:rPr>
            </w:pPr>
          </w:p>
        </w:tc>
        <w:tc>
          <w:tcPr>
            <w:tcW w:w="1072" w:type="dxa"/>
          </w:tcPr>
          <w:p w14:paraId="0CAB2A81">
            <w:pPr>
              <w:tabs>
                <w:tab w:val="left" w:pos="930"/>
                <w:tab w:val="left" w:pos="8364"/>
              </w:tabs>
              <w:ind w:right="-58"/>
              <w:rPr>
                <w:rFonts w:ascii="宋体" w:hAnsi="宋体"/>
                <w:spacing w:val="20"/>
                <w:szCs w:val="21"/>
              </w:rPr>
            </w:pPr>
          </w:p>
        </w:tc>
        <w:tc>
          <w:tcPr>
            <w:tcW w:w="1066" w:type="dxa"/>
          </w:tcPr>
          <w:p w14:paraId="19D68583">
            <w:pPr>
              <w:tabs>
                <w:tab w:val="left" w:pos="930"/>
                <w:tab w:val="left" w:pos="8364"/>
              </w:tabs>
              <w:ind w:right="-58"/>
              <w:rPr>
                <w:rFonts w:ascii="宋体" w:hAnsi="宋体"/>
                <w:spacing w:val="20"/>
                <w:szCs w:val="21"/>
              </w:rPr>
            </w:pPr>
          </w:p>
        </w:tc>
      </w:tr>
      <w:tr w14:paraId="67E4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072630CB">
            <w:pPr>
              <w:tabs>
                <w:tab w:val="left" w:pos="930"/>
                <w:tab w:val="left" w:pos="8364"/>
              </w:tabs>
              <w:ind w:right="-58"/>
              <w:jc w:val="center"/>
              <w:rPr>
                <w:rFonts w:ascii="宋体" w:hAnsi="宋体"/>
                <w:spacing w:val="20"/>
                <w:szCs w:val="21"/>
              </w:rPr>
            </w:pPr>
          </w:p>
        </w:tc>
        <w:tc>
          <w:tcPr>
            <w:tcW w:w="1088" w:type="dxa"/>
          </w:tcPr>
          <w:p w14:paraId="2E1B9E77">
            <w:pPr>
              <w:tabs>
                <w:tab w:val="left" w:pos="930"/>
                <w:tab w:val="left" w:pos="8364"/>
              </w:tabs>
              <w:ind w:right="-58"/>
              <w:rPr>
                <w:rFonts w:ascii="宋体" w:hAnsi="宋体"/>
                <w:spacing w:val="20"/>
                <w:szCs w:val="21"/>
              </w:rPr>
            </w:pPr>
          </w:p>
        </w:tc>
        <w:tc>
          <w:tcPr>
            <w:tcW w:w="3978" w:type="dxa"/>
          </w:tcPr>
          <w:p w14:paraId="6BB6A6BD">
            <w:pPr>
              <w:tabs>
                <w:tab w:val="left" w:pos="930"/>
                <w:tab w:val="left" w:pos="8364"/>
              </w:tabs>
              <w:ind w:right="-58"/>
              <w:rPr>
                <w:rFonts w:ascii="宋体" w:hAnsi="宋体"/>
                <w:spacing w:val="20"/>
                <w:szCs w:val="21"/>
              </w:rPr>
            </w:pPr>
          </w:p>
        </w:tc>
        <w:tc>
          <w:tcPr>
            <w:tcW w:w="1155" w:type="dxa"/>
          </w:tcPr>
          <w:p w14:paraId="7CF524FF">
            <w:pPr>
              <w:tabs>
                <w:tab w:val="left" w:pos="930"/>
                <w:tab w:val="left" w:pos="8364"/>
              </w:tabs>
              <w:ind w:right="-58"/>
              <w:rPr>
                <w:rFonts w:ascii="宋体" w:hAnsi="宋体"/>
                <w:spacing w:val="20"/>
                <w:szCs w:val="21"/>
              </w:rPr>
            </w:pPr>
          </w:p>
        </w:tc>
        <w:tc>
          <w:tcPr>
            <w:tcW w:w="1072" w:type="dxa"/>
          </w:tcPr>
          <w:p w14:paraId="76BAF2BE">
            <w:pPr>
              <w:tabs>
                <w:tab w:val="left" w:pos="930"/>
                <w:tab w:val="left" w:pos="8364"/>
              </w:tabs>
              <w:ind w:right="-58"/>
              <w:rPr>
                <w:rFonts w:ascii="宋体" w:hAnsi="宋体"/>
                <w:spacing w:val="20"/>
                <w:szCs w:val="21"/>
              </w:rPr>
            </w:pPr>
          </w:p>
        </w:tc>
        <w:tc>
          <w:tcPr>
            <w:tcW w:w="1066" w:type="dxa"/>
          </w:tcPr>
          <w:p w14:paraId="59A429C6">
            <w:pPr>
              <w:tabs>
                <w:tab w:val="left" w:pos="930"/>
                <w:tab w:val="left" w:pos="8364"/>
              </w:tabs>
              <w:ind w:right="-58"/>
              <w:rPr>
                <w:rFonts w:ascii="宋体" w:hAnsi="宋体"/>
                <w:spacing w:val="20"/>
                <w:szCs w:val="21"/>
              </w:rPr>
            </w:pPr>
          </w:p>
        </w:tc>
      </w:tr>
      <w:tr w14:paraId="293A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061240C1">
            <w:pPr>
              <w:tabs>
                <w:tab w:val="left" w:pos="930"/>
                <w:tab w:val="left" w:pos="8364"/>
              </w:tabs>
              <w:ind w:right="-58"/>
              <w:jc w:val="center"/>
              <w:rPr>
                <w:rFonts w:ascii="宋体" w:hAnsi="宋体"/>
                <w:spacing w:val="20"/>
                <w:szCs w:val="21"/>
              </w:rPr>
            </w:pPr>
          </w:p>
        </w:tc>
        <w:tc>
          <w:tcPr>
            <w:tcW w:w="1088" w:type="dxa"/>
          </w:tcPr>
          <w:p w14:paraId="217263D6">
            <w:pPr>
              <w:tabs>
                <w:tab w:val="left" w:pos="930"/>
                <w:tab w:val="left" w:pos="8364"/>
              </w:tabs>
              <w:ind w:right="-58"/>
              <w:rPr>
                <w:rFonts w:ascii="宋体" w:hAnsi="宋体"/>
                <w:spacing w:val="20"/>
                <w:szCs w:val="21"/>
              </w:rPr>
            </w:pPr>
          </w:p>
        </w:tc>
        <w:tc>
          <w:tcPr>
            <w:tcW w:w="3978" w:type="dxa"/>
          </w:tcPr>
          <w:p w14:paraId="169A2EE5">
            <w:pPr>
              <w:tabs>
                <w:tab w:val="left" w:pos="930"/>
                <w:tab w:val="left" w:pos="8364"/>
              </w:tabs>
              <w:ind w:right="-58"/>
              <w:rPr>
                <w:rFonts w:ascii="宋体" w:hAnsi="宋体"/>
                <w:spacing w:val="20"/>
                <w:szCs w:val="21"/>
              </w:rPr>
            </w:pPr>
          </w:p>
        </w:tc>
        <w:tc>
          <w:tcPr>
            <w:tcW w:w="1155" w:type="dxa"/>
          </w:tcPr>
          <w:p w14:paraId="744DC273">
            <w:pPr>
              <w:tabs>
                <w:tab w:val="left" w:pos="930"/>
                <w:tab w:val="left" w:pos="8364"/>
              </w:tabs>
              <w:ind w:right="-58"/>
              <w:rPr>
                <w:rFonts w:ascii="宋体" w:hAnsi="宋体"/>
                <w:spacing w:val="20"/>
                <w:szCs w:val="21"/>
              </w:rPr>
            </w:pPr>
          </w:p>
        </w:tc>
        <w:tc>
          <w:tcPr>
            <w:tcW w:w="1072" w:type="dxa"/>
          </w:tcPr>
          <w:p w14:paraId="753251F3">
            <w:pPr>
              <w:tabs>
                <w:tab w:val="left" w:pos="930"/>
                <w:tab w:val="left" w:pos="8364"/>
              </w:tabs>
              <w:ind w:right="-58"/>
              <w:rPr>
                <w:rFonts w:ascii="宋体" w:hAnsi="宋体"/>
                <w:spacing w:val="20"/>
                <w:szCs w:val="21"/>
              </w:rPr>
            </w:pPr>
          </w:p>
        </w:tc>
        <w:tc>
          <w:tcPr>
            <w:tcW w:w="1066" w:type="dxa"/>
          </w:tcPr>
          <w:p w14:paraId="29DDE7A1">
            <w:pPr>
              <w:tabs>
                <w:tab w:val="left" w:pos="930"/>
                <w:tab w:val="left" w:pos="8364"/>
              </w:tabs>
              <w:ind w:right="-58"/>
              <w:rPr>
                <w:rFonts w:ascii="宋体" w:hAnsi="宋体"/>
                <w:spacing w:val="20"/>
                <w:szCs w:val="21"/>
              </w:rPr>
            </w:pPr>
          </w:p>
        </w:tc>
      </w:tr>
    </w:tbl>
    <w:p w14:paraId="02BAC85C">
      <w:pPr>
        <w:numPr>
          <w:ilvl w:val="0"/>
          <w:numId w:val="18"/>
        </w:numPr>
        <w:spacing w:line="360" w:lineRule="auto"/>
        <w:rPr>
          <w:rFonts w:ascii="宋体" w:hAnsi="宋体"/>
          <w:szCs w:val="21"/>
        </w:rPr>
      </w:pPr>
      <w:r>
        <w:rPr>
          <w:rFonts w:hint="eastAsia" w:ascii="宋体" w:hAnsi="宋体"/>
          <w:szCs w:val="21"/>
        </w:rPr>
        <w:t>研发能力及人员配备：</w:t>
      </w:r>
    </w:p>
    <w:p w14:paraId="6678070D">
      <w:pPr>
        <w:spacing w:line="360" w:lineRule="auto"/>
        <w:ind w:left="425"/>
        <w:rPr>
          <w:rFonts w:ascii="宋体" w:hAnsi="宋体"/>
          <w:szCs w:val="21"/>
        </w:rPr>
      </w:pPr>
    </w:p>
    <w:p w14:paraId="33CB2C1D">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3EE70615">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285D8F9C">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1281E73F">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0514D7F4">
      <w:pPr>
        <w:spacing w:line="360" w:lineRule="auto"/>
        <w:rPr>
          <w:rFonts w:ascii="宋体" w:hAnsi="宋体"/>
          <w:szCs w:val="21"/>
        </w:rPr>
      </w:pPr>
    </w:p>
    <w:p w14:paraId="2E4B3C15">
      <w:pPr>
        <w:spacing w:line="360" w:lineRule="auto"/>
        <w:rPr>
          <w:rFonts w:ascii="宋体" w:hAnsi="宋体"/>
          <w:szCs w:val="21"/>
        </w:rPr>
      </w:pPr>
      <w:r>
        <w:rPr>
          <w:rFonts w:hint="eastAsia" w:ascii="宋体" w:hAnsi="宋体"/>
          <w:szCs w:val="21"/>
        </w:rPr>
        <w:t>供应商名称（盖章）：</w:t>
      </w:r>
    </w:p>
    <w:p w14:paraId="46E4A67B">
      <w:pPr>
        <w:spacing w:line="360" w:lineRule="auto"/>
        <w:rPr>
          <w:rFonts w:ascii="宋体" w:hAnsi="宋体"/>
          <w:szCs w:val="21"/>
        </w:rPr>
      </w:pPr>
      <w:r>
        <w:rPr>
          <w:rFonts w:hint="eastAsia" w:ascii="宋体" w:hAnsi="宋体"/>
          <w:szCs w:val="21"/>
        </w:rPr>
        <w:t>签字人姓名和职务：</w:t>
      </w:r>
    </w:p>
    <w:p w14:paraId="25F54EEA">
      <w:pPr>
        <w:spacing w:line="360" w:lineRule="auto"/>
        <w:rPr>
          <w:rFonts w:ascii="宋体" w:hAnsi="宋体"/>
          <w:szCs w:val="21"/>
        </w:rPr>
      </w:pPr>
      <w:r>
        <w:rPr>
          <w:rFonts w:hint="eastAsia" w:ascii="宋体" w:hAnsi="宋体"/>
          <w:szCs w:val="21"/>
        </w:rPr>
        <w:t>签字人签字：</w:t>
      </w:r>
    </w:p>
    <w:p w14:paraId="5915E9BF">
      <w:pPr>
        <w:spacing w:line="360" w:lineRule="auto"/>
        <w:rPr>
          <w:rFonts w:ascii="宋体" w:hAnsi="宋体"/>
          <w:szCs w:val="21"/>
        </w:rPr>
      </w:pPr>
      <w:r>
        <w:rPr>
          <w:rFonts w:hint="eastAsia" w:ascii="宋体" w:hAnsi="宋体"/>
          <w:szCs w:val="21"/>
        </w:rPr>
        <w:t>签字日期：</w:t>
      </w:r>
    </w:p>
    <w:p w14:paraId="73F31FF3">
      <w:pPr>
        <w:spacing w:line="360" w:lineRule="auto"/>
        <w:rPr>
          <w:rFonts w:ascii="宋体" w:hAnsi="宋体"/>
          <w:szCs w:val="21"/>
        </w:rPr>
      </w:pPr>
      <w:r>
        <w:rPr>
          <w:rFonts w:hint="eastAsia" w:ascii="宋体" w:hAnsi="宋体"/>
          <w:szCs w:val="21"/>
        </w:rPr>
        <w:t>传真：</w:t>
      </w:r>
    </w:p>
    <w:p w14:paraId="3B63D178">
      <w:pPr>
        <w:spacing w:line="360" w:lineRule="auto"/>
        <w:rPr>
          <w:rFonts w:ascii="宋体" w:hAnsi="宋体"/>
          <w:szCs w:val="21"/>
        </w:rPr>
      </w:pPr>
      <w:r>
        <w:rPr>
          <w:rFonts w:hint="eastAsia" w:ascii="宋体" w:hAnsi="宋体"/>
          <w:szCs w:val="21"/>
        </w:rPr>
        <w:t>电话：</w:t>
      </w:r>
    </w:p>
    <w:p w14:paraId="0BCD0874">
      <w:pPr>
        <w:spacing w:line="360" w:lineRule="auto"/>
        <w:rPr>
          <w:rFonts w:ascii="宋体" w:hAnsi="宋体"/>
          <w:szCs w:val="21"/>
        </w:rPr>
      </w:pPr>
      <w:r>
        <w:rPr>
          <w:rFonts w:hint="eastAsia" w:ascii="宋体" w:hAnsi="宋体"/>
          <w:szCs w:val="21"/>
        </w:rPr>
        <w:t>电子函件：</w:t>
      </w:r>
    </w:p>
    <w:p w14:paraId="13658F18">
      <w:pPr>
        <w:rPr>
          <w:rFonts w:ascii="宋体" w:hAnsi="宋体"/>
          <w:szCs w:val="21"/>
        </w:rPr>
      </w:pPr>
      <w:r>
        <w:rPr>
          <w:rFonts w:hint="eastAsia" w:ascii="宋体" w:hAnsi="宋体"/>
          <w:szCs w:val="21"/>
        </w:rPr>
        <w:br w:type="page"/>
      </w:r>
    </w:p>
    <w:p w14:paraId="2C15E15E">
      <w:pPr>
        <w:pStyle w:val="6"/>
        <w:rPr>
          <w:rFonts w:ascii="黑体" w:eastAsia="黑体"/>
          <w:b/>
          <w:sz w:val="21"/>
          <w:szCs w:val="24"/>
        </w:rPr>
      </w:pPr>
      <w:r>
        <w:rPr>
          <w:rFonts w:hint="eastAsia" w:ascii="黑体" w:eastAsia="黑体"/>
          <w:b/>
          <w:sz w:val="21"/>
          <w:szCs w:val="24"/>
        </w:rPr>
        <w:t>7-3  资格要求证明材料</w:t>
      </w:r>
    </w:p>
    <w:p w14:paraId="24C87BFF">
      <w:pPr>
        <w:snapToGrid w:val="0"/>
        <w:spacing w:beforeLines="100" w:afterLines="100"/>
        <w:ind w:left="210" w:leftChars="100" w:right="210" w:rightChars="100" w:firstLine="420" w:firstLineChars="200"/>
        <w:rPr>
          <w:rFonts w:ascii="宋体" w:hAnsi="宋体"/>
          <w:szCs w:val="21"/>
          <w:u w:val="single"/>
        </w:rPr>
      </w:pPr>
    </w:p>
    <w:bookmarkEnd w:id="45"/>
    <w:bookmarkEnd w:id="69"/>
    <w:bookmarkEnd w:id="70"/>
    <w:bookmarkEnd w:id="71"/>
    <w:p w14:paraId="451B321A">
      <w:r>
        <w:br w:type="page"/>
      </w:r>
    </w:p>
    <w:p w14:paraId="003B1EF9">
      <w:pPr>
        <w:pStyle w:val="6"/>
      </w:pPr>
      <w:bookmarkStart w:id="91" w:name="_Toc19572"/>
      <w:r>
        <w:rPr>
          <w:rFonts w:hint="eastAsia" w:ascii="黑体" w:eastAsia="黑体"/>
          <w:b/>
          <w:sz w:val="21"/>
          <w:szCs w:val="24"/>
        </w:rPr>
        <w:t>7-4  供应商认为需要提供的其它证明材料</w:t>
      </w:r>
      <w:bookmarkEnd w:id="91"/>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7E02">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131AAA7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705C">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276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4A61">
    <w:pPr>
      <w:pStyle w:val="36"/>
      <w:jc w:val="center"/>
    </w:pPr>
    <w:r>
      <w:fldChar w:fldCharType="begin"/>
    </w:r>
    <w:r>
      <w:rPr>
        <w:rStyle w:val="57"/>
      </w:rPr>
      <w:instrText xml:space="preserve"> PAGE </w:instrText>
    </w:r>
    <w:r>
      <w:fldChar w:fldCharType="separate"/>
    </w:r>
    <w:r>
      <w:rPr>
        <w:rStyle w:val="57"/>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9809">
    <w:pPr>
      <w:pStyle w:val="36"/>
      <w:jc w:val="center"/>
    </w:pPr>
    <w:r>
      <w:fldChar w:fldCharType="begin"/>
    </w:r>
    <w:r>
      <w:rPr>
        <w:rStyle w:val="57"/>
      </w:rPr>
      <w:instrText xml:space="preserve"> PAGE </w:instrText>
    </w:r>
    <w:r>
      <w:fldChar w:fldCharType="separate"/>
    </w:r>
    <w:r>
      <w:rPr>
        <w:rStyle w:val="57"/>
      </w:rPr>
      <w:t>57</w:t>
    </w:r>
    <w:r>
      <w:fldChar w:fldCharType="end"/>
    </w:r>
  </w:p>
  <w:p w14:paraId="71365FA7"/>
  <w:p w14:paraId="03368A3E"/>
  <w:p w14:paraId="02DFBD72"/>
  <w:p w14:paraId="3803F94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C561">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AE53">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6BFA0">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E0F2A">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1F36">
    <w:pPr>
      <w:pStyle w:val="37"/>
    </w:pPr>
  </w:p>
  <w:p w14:paraId="502C33BA"/>
  <w:p w14:paraId="03FEE226"/>
  <w:p w14:paraId="13C99F12"/>
  <w:p w14:paraId="01185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DAC762D"/>
    <w:multiLevelType w:val="multilevel"/>
    <w:tmpl w:val="4DAC762D"/>
    <w:lvl w:ilvl="0" w:tentative="0">
      <w:start w:val="1"/>
      <w:numFmt w:val="chineseCountingThousand"/>
      <w:pStyle w:val="2"/>
      <w:suff w:val="space"/>
      <w:lvlText w:val="第%1章"/>
      <w:lvlJc w:val="center"/>
      <w:pPr>
        <w:ind w:left="4815" w:firstLine="288"/>
      </w:pPr>
      <w:rPr>
        <w:rFonts w:hint="eastAsia"/>
        <w:b/>
        <w:sz w:val="36"/>
        <w:szCs w:val="36"/>
      </w:rPr>
    </w:lvl>
    <w:lvl w:ilvl="1" w:tentative="0">
      <w:start w:val="1"/>
      <w:numFmt w:val="decimal"/>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6"/>
  </w:num>
  <w:num w:numId="2">
    <w:abstractNumId w:val="14"/>
  </w:num>
  <w:num w:numId="3">
    <w:abstractNumId w:val="7"/>
  </w:num>
  <w:num w:numId="4">
    <w:abstractNumId w:val="3"/>
  </w:num>
  <w:num w:numId="5">
    <w:abstractNumId w:val="2"/>
  </w:num>
  <w:num w:numId="6">
    <w:abstractNumId w:val="1"/>
  </w:num>
  <w:num w:numId="7">
    <w:abstractNumId w:val="5"/>
  </w:num>
  <w:num w:numId="8">
    <w:abstractNumId w:val="6"/>
  </w:num>
  <w:num w:numId="9">
    <w:abstractNumId w:val="15"/>
  </w:num>
  <w:num w:numId="10">
    <w:abstractNumId w:val="4"/>
  </w:num>
  <w:num w:numId="11">
    <w:abstractNumId w:val="0"/>
  </w:num>
  <w:num w:numId="12">
    <w:abstractNumId w:val="9"/>
  </w:num>
  <w:num w:numId="13">
    <w:abstractNumId w:val="10"/>
  </w:num>
  <w:num w:numId="14">
    <w:abstractNumId w:val="8"/>
  </w:num>
  <w:num w:numId="15">
    <w:abstractNumId w:val="11"/>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2F00"/>
    <w:rsid w:val="00023E93"/>
    <w:rsid w:val="00023EF5"/>
    <w:rsid w:val="00024C77"/>
    <w:rsid w:val="00025EFB"/>
    <w:rsid w:val="000260D5"/>
    <w:rsid w:val="00030A9D"/>
    <w:rsid w:val="00031B2F"/>
    <w:rsid w:val="00031DEF"/>
    <w:rsid w:val="00031E87"/>
    <w:rsid w:val="00033EFE"/>
    <w:rsid w:val="00034705"/>
    <w:rsid w:val="0003496A"/>
    <w:rsid w:val="00035296"/>
    <w:rsid w:val="000352DD"/>
    <w:rsid w:val="000364F3"/>
    <w:rsid w:val="000365EA"/>
    <w:rsid w:val="00037097"/>
    <w:rsid w:val="00037954"/>
    <w:rsid w:val="00037AFD"/>
    <w:rsid w:val="0004037C"/>
    <w:rsid w:val="00040F17"/>
    <w:rsid w:val="00041779"/>
    <w:rsid w:val="00041E6E"/>
    <w:rsid w:val="00042019"/>
    <w:rsid w:val="0004206D"/>
    <w:rsid w:val="00042584"/>
    <w:rsid w:val="000438A5"/>
    <w:rsid w:val="00045744"/>
    <w:rsid w:val="00045A14"/>
    <w:rsid w:val="00050BFA"/>
    <w:rsid w:val="00051071"/>
    <w:rsid w:val="0005189A"/>
    <w:rsid w:val="00053058"/>
    <w:rsid w:val="00053A52"/>
    <w:rsid w:val="00053B14"/>
    <w:rsid w:val="00053E94"/>
    <w:rsid w:val="0005497F"/>
    <w:rsid w:val="0005620D"/>
    <w:rsid w:val="00056C96"/>
    <w:rsid w:val="00056D8B"/>
    <w:rsid w:val="00056FD5"/>
    <w:rsid w:val="000577B3"/>
    <w:rsid w:val="000578CD"/>
    <w:rsid w:val="0005799E"/>
    <w:rsid w:val="0006099C"/>
    <w:rsid w:val="000618EA"/>
    <w:rsid w:val="00061F51"/>
    <w:rsid w:val="00062477"/>
    <w:rsid w:val="000631D6"/>
    <w:rsid w:val="00063CE1"/>
    <w:rsid w:val="00064583"/>
    <w:rsid w:val="00064913"/>
    <w:rsid w:val="00064FA3"/>
    <w:rsid w:val="00066324"/>
    <w:rsid w:val="000673C4"/>
    <w:rsid w:val="00067BFB"/>
    <w:rsid w:val="00067FDF"/>
    <w:rsid w:val="00070964"/>
    <w:rsid w:val="00071DBA"/>
    <w:rsid w:val="00072029"/>
    <w:rsid w:val="0007215F"/>
    <w:rsid w:val="000728EA"/>
    <w:rsid w:val="0007445B"/>
    <w:rsid w:val="000760C6"/>
    <w:rsid w:val="0007666E"/>
    <w:rsid w:val="00076700"/>
    <w:rsid w:val="00076D4E"/>
    <w:rsid w:val="00080C1A"/>
    <w:rsid w:val="00082069"/>
    <w:rsid w:val="00082160"/>
    <w:rsid w:val="00082D5D"/>
    <w:rsid w:val="00083045"/>
    <w:rsid w:val="000847F7"/>
    <w:rsid w:val="00084999"/>
    <w:rsid w:val="00084E3F"/>
    <w:rsid w:val="00085413"/>
    <w:rsid w:val="00087025"/>
    <w:rsid w:val="00087E73"/>
    <w:rsid w:val="00090871"/>
    <w:rsid w:val="00091477"/>
    <w:rsid w:val="00092C2E"/>
    <w:rsid w:val="00093016"/>
    <w:rsid w:val="0009447A"/>
    <w:rsid w:val="00095F5C"/>
    <w:rsid w:val="00096080"/>
    <w:rsid w:val="00096339"/>
    <w:rsid w:val="00096778"/>
    <w:rsid w:val="00096B05"/>
    <w:rsid w:val="000A28DA"/>
    <w:rsid w:val="000A3669"/>
    <w:rsid w:val="000A3C2B"/>
    <w:rsid w:val="000A5155"/>
    <w:rsid w:val="000A60BC"/>
    <w:rsid w:val="000A6148"/>
    <w:rsid w:val="000A688C"/>
    <w:rsid w:val="000A7250"/>
    <w:rsid w:val="000A72D9"/>
    <w:rsid w:val="000A7D58"/>
    <w:rsid w:val="000B02BC"/>
    <w:rsid w:val="000B11A0"/>
    <w:rsid w:val="000B142B"/>
    <w:rsid w:val="000B26B7"/>
    <w:rsid w:val="000B4B80"/>
    <w:rsid w:val="000B4FAD"/>
    <w:rsid w:val="000B55EC"/>
    <w:rsid w:val="000B5724"/>
    <w:rsid w:val="000B58EA"/>
    <w:rsid w:val="000B6D7B"/>
    <w:rsid w:val="000C17AA"/>
    <w:rsid w:val="000C22C4"/>
    <w:rsid w:val="000C2639"/>
    <w:rsid w:val="000C29FA"/>
    <w:rsid w:val="000C352F"/>
    <w:rsid w:val="000C3B31"/>
    <w:rsid w:val="000C3D44"/>
    <w:rsid w:val="000C4853"/>
    <w:rsid w:val="000C489F"/>
    <w:rsid w:val="000C5934"/>
    <w:rsid w:val="000C63A7"/>
    <w:rsid w:val="000C6EF4"/>
    <w:rsid w:val="000C70D2"/>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11F3"/>
    <w:rsid w:val="0011219E"/>
    <w:rsid w:val="00112D23"/>
    <w:rsid w:val="00113255"/>
    <w:rsid w:val="00113435"/>
    <w:rsid w:val="001135CE"/>
    <w:rsid w:val="001136A7"/>
    <w:rsid w:val="001139A3"/>
    <w:rsid w:val="0011471E"/>
    <w:rsid w:val="00115AC1"/>
    <w:rsid w:val="00116F52"/>
    <w:rsid w:val="00117CA9"/>
    <w:rsid w:val="0012233A"/>
    <w:rsid w:val="00122DF7"/>
    <w:rsid w:val="00123B7D"/>
    <w:rsid w:val="00124678"/>
    <w:rsid w:val="001267E8"/>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363"/>
    <w:rsid w:val="001424F4"/>
    <w:rsid w:val="001437EE"/>
    <w:rsid w:val="001453C5"/>
    <w:rsid w:val="00147621"/>
    <w:rsid w:val="00147FB5"/>
    <w:rsid w:val="00150FE4"/>
    <w:rsid w:val="00151447"/>
    <w:rsid w:val="00151FAB"/>
    <w:rsid w:val="0015329D"/>
    <w:rsid w:val="00154AE8"/>
    <w:rsid w:val="00154B29"/>
    <w:rsid w:val="00154BF3"/>
    <w:rsid w:val="00154CBB"/>
    <w:rsid w:val="00155B47"/>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708C4"/>
    <w:rsid w:val="00170BE5"/>
    <w:rsid w:val="00170E5B"/>
    <w:rsid w:val="00171FDA"/>
    <w:rsid w:val="00172446"/>
    <w:rsid w:val="00172B39"/>
    <w:rsid w:val="001730DF"/>
    <w:rsid w:val="0017360F"/>
    <w:rsid w:val="001738F1"/>
    <w:rsid w:val="001759B2"/>
    <w:rsid w:val="00175A52"/>
    <w:rsid w:val="00176385"/>
    <w:rsid w:val="001764D0"/>
    <w:rsid w:val="00176D2C"/>
    <w:rsid w:val="00176FDB"/>
    <w:rsid w:val="00177676"/>
    <w:rsid w:val="0017789B"/>
    <w:rsid w:val="00177E3C"/>
    <w:rsid w:val="0018060A"/>
    <w:rsid w:val="00181462"/>
    <w:rsid w:val="0018189F"/>
    <w:rsid w:val="001839B6"/>
    <w:rsid w:val="0018438A"/>
    <w:rsid w:val="00185166"/>
    <w:rsid w:val="00185F93"/>
    <w:rsid w:val="001904CE"/>
    <w:rsid w:val="00191298"/>
    <w:rsid w:val="001920C1"/>
    <w:rsid w:val="00193181"/>
    <w:rsid w:val="00193956"/>
    <w:rsid w:val="00193B89"/>
    <w:rsid w:val="00193D2E"/>
    <w:rsid w:val="0019533E"/>
    <w:rsid w:val="001959D9"/>
    <w:rsid w:val="00195AC0"/>
    <w:rsid w:val="00195E9D"/>
    <w:rsid w:val="001962C0"/>
    <w:rsid w:val="0019635D"/>
    <w:rsid w:val="00196E74"/>
    <w:rsid w:val="00197E17"/>
    <w:rsid w:val="001A090D"/>
    <w:rsid w:val="001A0B95"/>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B98"/>
    <w:rsid w:val="001E16C1"/>
    <w:rsid w:val="001E1CA8"/>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07DED"/>
    <w:rsid w:val="002100D6"/>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3502"/>
    <w:rsid w:val="002237FD"/>
    <w:rsid w:val="00223BB5"/>
    <w:rsid w:val="00224456"/>
    <w:rsid w:val="0022501D"/>
    <w:rsid w:val="00226F02"/>
    <w:rsid w:val="0022732E"/>
    <w:rsid w:val="002273BE"/>
    <w:rsid w:val="00227953"/>
    <w:rsid w:val="00227DB7"/>
    <w:rsid w:val="002322AB"/>
    <w:rsid w:val="002338C7"/>
    <w:rsid w:val="00233F18"/>
    <w:rsid w:val="00233F75"/>
    <w:rsid w:val="0023456B"/>
    <w:rsid w:val="002347CA"/>
    <w:rsid w:val="00235732"/>
    <w:rsid w:val="00235961"/>
    <w:rsid w:val="00235C61"/>
    <w:rsid w:val="00236180"/>
    <w:rsid w:val="00237DAF"/>
    <w:rsid w:val="00237FA2"/>
    <w:rsid w:val="00240411"/>
    <w:rsid w:val="00240D7C"/>
    <w:rsid w:val="00240F58"/>
    <w:rsid w:val="002417C9"/>
    <w:rsid w:val="00241B08"/>
    <w:rsid w:val="00242670"/>
    <w:rsid w:val="00242D72"/>
    <w:rsid w:val="0024300F"/>
    <w:rsid w:val="002430DE"/>
    <w:rsid w:val="00243145"/>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4724"/>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12AB"/>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1974"/>
    <w:rsid w:val="00282C00"/>
    <w:rsid w:val="002842C2"/>
    <w:rsid w:val="002848E8"/>
    <w:rsid w:val="00285002"/>
    <w:rsid w:val="0028542B"/>
    <w:rsid w:val="002871C9"/>
    <w:rsid w:val="0028791B"/>
    <w:rsid w:val="00290E99"/>
    <w:rsid w:val="002912E5"/>
    <w:rsid w:val="00293B1A"/>
    <w:rsid w:val="00293EF5"/>
    <w:rsid w:val="00296281"/>
    <w:rsid w:val="00296FB0"/>
    <w:rsid w:val="002974FB"/>
    <w:rsid w:val="002977C3"/>
    <w:rsid w:val="002A09B2"/>
    <w:rsid w:val="002A1246"/>
    <w:rsid w:val="002A18B6"/>
    <w:rsid w:val="002A208E"/>
    <w:rsid w:val="002A20BE"/>
    <w:rsid w:val="002A31A6"/>
    <w:rsid w:val="002A35B3"/>
    <w:rsid w:val="002A398F"/>
    <w:rsid w:val="002A3CE6"/>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2832"/>
    <w:rsid w:val="002D3C6B"/>
    <w:rsid w:val="002D3F7C"/>
    <w:rsid w:val="002D5AC3"/>
    <w:rsid w:val="002D706B"/>
    <w:rsid w:val="002E0999"/>
    <w:rsid w:val="002E1BA5"/>
    <w:rsid w:val="002E383A"/>
    <w:rsid w:val="002E48ED"/>
    <w:rsid w:val="002E4AAE"/>
    <w:rsid w:val="002E5A36"/>
    <w:rsid w:val="002E7F6B"/>
    <w:rsid w:val="002F0236"/>
    <w:rsid w:val="002F0F55"/>
    <w:rsid w:val="002F140F"/>
    <w:rsid w:val="002F24DB"/>
    <w:rsid w:val="002F30A4"/>
    <w:rsid w:val="002F3ECC"/>
    <w:rsid w:val="002F4C62"/>
    <w:rsid w:val="002F54D3"/>
    <w:rsid w:val="002F5548"/>
    <w:rsid w:val="002F5C10"/>
    <w:rsid w:val="002F6161"/>
    <w:rsid w:val="002F65C2"/>
    <w:rsid w:val="002F7F03"/>
    <w:rsid w:val="00300124"/>
    <w:rsid w:val="00300CA0"/>
    <w:rsid w:val="003018A3"/>
    <w:rsid w:val="003020BC"/>
    <w:rsid w:val="00302A91"/>
    <w:rsid w:val="00302EBB"/>
    <w:rsid w:val="0030349C"/>
    <w:rsid w:val="003035C2"/>
    <w:rsid w:val="003042F9"/>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063B"/>
    <w:rsid w:val="003225E3"/>
    <w:rsid w:val="00323914"/>
    <w:rsid w:val="00324A2F"/>
    <w:rsid w:val="00325CE2"/>
    <w:rsid w:val="00327EC4"/>
    <w:rsid w:val="00327EFD"/>
    <w:rsid w:val="003305F0"/>
    <w:rsid w:val="00331D34"/>
    <w:rsid w:val="00332EBF"/>
    <w:rsid w:val="003336F4"/>
    <w:rsid w:val="00334FC4"/>
    <w:rsid w:val="0033591B"/>
    <w:rsid w:val="00336DFE"/>
    <w:rsid w:val="003370FA"/>
    <w:rsid w:val="00337EAF"/>
    <w:rsid w:val="00340248"/>
    <w:rsid w:val="003411C2"/>
    <w:rsid w:val="00342032"/>
    <w:rsid w:val="00342CA6"/>
    <w:rsid w:val="00343793"/>
    <w:rsid w:val="003438BA"/>
    <w:rsid w:val="0034452F"/>
    <w:rsid w:val="00344537"/>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49FF"/>
    <w:rsid w:val="00395628"/>
    <w:rsid w:val="003966A4"/>
    <w:rsid w:val="003A0269"/>
    <w:rsid w:val="003A22F2"/>
    <w:rsid w:val="003A2964"/>
    <w:rsid w:val="003A39C8"/>
    <w:rsid w:val="003A3B3E"/>
    <w:rsid w:val="003A4129"/>
    <w:rsid w:val="003A5211"/>
    <w:rsid w:val="003A5B77"/>
    <w:rsid w:val="003A61A5"/>
    <w:rsid w:val="003A635B"/>
    <w:rsid w:val="003A79FB"/>
    <w:rsid w:val="003A7B17"/>
    <w:rsid w:val="003A7D33"/>
    <w:rsid w:val="003A7E10"/>
    <w:rsid w:val="003B0E45"/>
    <w:rsid w:val="003B2C64"/>
    <w:rsid w:val="003B3BED"/>
    <w:rsid w:val="003B3D55"/>
    <w:rsid w:val="003B4431"/>
    <w:rsid w:val="003B5210"/>
    <w:rsid w:val="003B5605"/>
    <w:rsid w:val="003B5EB6"/>
    <w:rsid w:val="003B6D44"/>
    <w:rsid w:val="003B7A81"/>
    <w:rsid w:val="003B7D49"/>
    <w:rsid w:val="003C04AD"/>
    <w:rsid w:val="003C16C9"/>
    <w:rsid w:val="003C1CA7"/>
    <w:rsid w:val="003C1F52"/>
    <w:rsid w:val="003C2093"/>
    <w:rsid w:val="003C58D8"/>
    <w:rsid w:val="003C5A76"/>
    <w:rsid w:val="003C61B1"/>
    <w:rsid w:val="003C61E9"/>
    <w:rsid w:val="003C7561"/>
    <w:rsid w:val="003C7928"/>
    <w:rsid w:val="003C7B0D"/>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3BEC"/>
    <w:rsid w:val="003E5F22"/>
    <w:rsid w:val="003E6454"/>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1E02"/>
    <w:rsid w:val="004055F1"/>
    <w:rsid w:val="00405B38"/>
    <w:rsid w:val="00407A39"/>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1886"/>
    <w:rsid w:val="00421DB2"/>
    <w:rsid w:val="00421DBE"/>
    <w:rsid w:val="004223E1"/>
    <w:rsid w:val="004226C7"/>
    <w:rsid w:val="00423970"/>
    <w:rsid w:val="00424449"/>
    <w:rsid w:val="00426010"/>
    <w:rsid w:val="00426B96"/>
    <w:rsid w:val="00427AF2"/>
    <w:rsid w:val="0043002B"/>
    <w:rsid w:val="00432A3D"/>
    <w:rsid w:val="00434AAE"/>
    <w:rsid w:val="00434DEA"/>
    <w:rsid w:val="00436153"/>
    <w:rsid w:val="004369D4"/>
    <w:rsid w:val="00436D27"/>
    <w:rsid w:val="00440AA3"/>
    <w:rsid w:val="004416B7"/>
    <w:rsid w:val="00441BA6"/>
    <w:rsid w:val="00443066"/>
    <w:rsid w:val="004447F8"/>
    <w:rsid w:val="004454EF"/>
    <w:rsid w:val="00445BE7"/>
    <w:rsid w:val="004463F2"/>
    <w:rsid w:val="00446B22"/>
    <w:rsid w:val="004472C3"/>
    <w:rsid w:val="00447811"/>
    <w:rsid w:val="00447855"/>
    <w:rsid w:val="00447A8B"/>
    <w:rsid w:val="0045026C"/>
    <w:rsid w:val="00453075"/>
    <w:rsid w:val="00453AF0"/>
    <w:rsid w:val="00453CED"/>
    <w:rsid w:val="004568A8"/>
    <w:rsid w:val="00457347"/>
    <w:rsid w:val="00457459"/>
    <w:rsid w:val="00460414"/>
    <w:rsid w:val="004607C3"/>
    <w:rsid w:val="00460838"/>
    <w:rsid w:val="004611AD"/>
    <w:rsid w:val="0046132D"/>
    <w:rsid w:val="00461606"/>
    <w:rsid w:val="00461F3C"/>
    <w:rsid w:val="00462868"/>
    <w:rsid w:val="00463598"/>
    <w:rsid w:val="00463956"/>
    <w:rsid w:val="0046498B"/>
    <w:rsid w:val="004663B1"/>
    <w:rsid w:val="00466DB6"/>
    <w:rsid w:val="004670F6"/>
    <w:rsid w:val="00467E2B"/>
    <w:rsid w:val="00467FDA"/>
    <w:rsid w:val="00470024"/>
    <w:rsid w:val="00470730"/>
    <w:rsid w:val="00473658"/>
    <w:rsid w:val="00473742"/>
    <w:rsid w:val="004744B7"/>
    <w:rsid w:val="00477C96"/>
    <w:rsid w:val="00477EF6"/>
    <w:rsid w:val="004809A0"/>
    <w:rsid w:val="00480CC2"/>
    <w:rsid w:val="004821CC"/>
    <w:rsid w:val="00482693"/>
    <w:rsid w:val="00483653"/>
    <w:rsid w:val="00484086"/>
    <w:rsid w:val="004854F3"/>
    <w:rsid w:val="004860BC"/>
    <w:rsid w:val="0048667A"/>
    <w:rsid w:val="00487996"/>
    <w:rsid w:val="004917CD"/>
    <w:rsid w:val="00491C96"/>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25E"/>
    <w:rsid w:val="004B598A"/>
    <w:rsid w:val="004B5BF2"/>
    <w:rsid w:val="004C04D7"/>
    <w:rsid w:val="004C04FC"/>
    <w:rsid w:val="004C0A14"/>
    <w:rsid w:val="004C0D34"/>
    <w:rsid w:val="004C1307"/>
    <w:rsid w:val="004C180A"/>
    <w:rsid w:val="004C281F"/>
    <w:rsid w:val="004C3243"/>
    <w:rsid w:val="004C3602"/>
    <w:rsid w:val="004C48F0"/>
    <w:rsid w:val="004C5137"/>
    <w:rsid w:val="004C6542"/>
    <w:rsid w:val="004C7B89"/>
    <w:rsid w:val="004D0B16"/>
    <w:rsid w:val="004D0C03"/>
    <w:rsid w:val="004D0CCF"/>
    <w:rsid w:val="004D0FD1"/>
    <w:rsid w:val="004D1790"/>
    <w:rsid w:val="004D19CF"/>
    <w:rsid w:val="004D1F26"/>
    <w:rsid w:val="004D2528"/>
    <w:rsid w:val="004D28EA"/>
    <w:rsid w:val="004D2E87"/>
    <w:rsid w:val="004D3099"/>
    <w:rsid w:val="004D38A6"/>
    <w:rsid w:val="004D39FE"/>
    <w:rsid w:val="004D3A64"/>
    <w:rsid w:val="004D408D"/>
    <w:rsid w:val="004D46CB"/>
    <w:rsid w:val="004D4E05"/>
    <w:rsid w:val="004D5644"/>
    <w:rsid w:val="004D6DFE"/>
    <w:rsid w:val="004D7389"/>
    <w:rsid w:val="004D7421"/>
    <w:rsid w:val="004E3392"/>
    <w:rsid w:val="004E484D"/>
    <w:rsid w:val="004E486F"/>
    <w:rsid w:val="004E645E"/>
    <w:rsid w:val="004E6761"/>
    <w:rsid w:val="004E75CF"/>
    <w:rsid w:val="004F0E0C"/>
    <w:rsid w:val="004F14FA"/>
    <w:rsid w:val="004F1E70"/>
    <w:rsid w:val="004F266B"/>
    <w:rsid w:val="004F2CA5"/>
    <w:rsid w:val="004F3C3B"/>
    <w:rsid w:val="004F3DD9"/>
    <w:rsid w:val="004F4697"/>
    <w:rsid w:val="004F53EA"/>
    <w:rsid w:val="004F77F2"/>
    <w:rsid w:val="004F7979"/>
    <w:rsid w:val="005018B4"/>
    <w:rsid w:val="00501BCD"/>
    <w:rsid w:val="00502B81"/>
    <w:rsid w:val="00502E90"/>
    <w:rsid w:val="005038A0"/>
    <w:rsid w:val="005043A5"/>
    <w:rsid w:val="005058EC"/>
    <w:rsid w:val="0050609C"/>
    <w:rsid w:val="00506423"/>
    <w:rsid w:val="00507076"/>
    <w:rsid w:val="00510D2F"/>
    <w:rsid w:val="00511842"/>
    <w:rsid w:val="00511F5D"/>
    <w:rsid w:val="00512BEF"/>
    <w:rsid w:val="00513F36"/>
    <w:rsid w:val="00514518"/>
    <w:rsid w:val="00514C8C"/>
    <w:rsid w:val="00515427"/>
    <w:rsid w:val="00516300"/>
    <w:rsid w:val="00516A5B"/>
    <w:rsid w:val="00516F8D"/>
    <w:rsid w:val="00517D26"/>
    <w:rsid w:val="00520903"/>
    <w:rsid w:val="00520A0D"/>
    <w:rsid w:val="00520B2D"/>
    <w:rsid w:val="0052102C"/>
    <w:rsid w:val="00522632"/>
    <w:rsid w:val="00523030"/>
    <w:rsid w:val="00524463"/>
    <w:rsid w:val="00524B92"/>
    <w:rsid w:val="005253A2"/>
    <w:rsid w:val="00525620"/>
    <w:rsid w:val="00525AB8"/>
    <w:rsid w:val="00525EE9"/>
    <w:rsid w:val="00527AC8"/>
    <w:rsid w:val="00527ED3"/>
    <w:rsid w:val="005311D5"/>
    <w:rsid w:val="00531929"/>
    <w:rsid w:val="00531FB3"/>
    <w:rsid w:val="00532A82"/>
    <w:rsid w:val="00532CA9"/>
    <w:rsid w:val="00532F29"/>
    <w:rsid w:val="00533254"/>
    <w:rsid w:val="00533607"/>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0E49"/>
    <w:rsid w:val="00552F38"/>
    <w:rsid w:val="00553F1D"/>
    <w:rsid w:val="0055501B"/>
    <w:rsid w:val="00555AB6"/>
    <w:rsid w:val="0056014B"/>
    <w:rsid w:val="00560349"/>
    <w:rsid w:val="0056075F"/>
    <w:rsid w:val="00560B57"/>
    <w:rsid w:val="005611D3"/>
    <w:rsid w:val="00561407"/>
    <w:rsid w:val="00562135"/>
    <w:rsid w:val="00562158"/>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2A36"/>
    <w:rsid w:val="00584BE8"/>
    <w:rsid w:val="0058566D"/>
    <w:rsid w:val="00585713"/>
    <w:rsid w:val="00585F0B"/>
    <w:rsid w:val="00586787"/>
    <w:rsid w:val="00587B7E"/>
    <w:rsid w:val="00590759"/>
    <w:rsid w:val="005909E6"/>
    <w:rsid w:val="00591493"/>
    <w:rsid w:val="00592E90"/>
    <w:rsid w:val="0059326F"/>
    <w:rsid w:val="005943C3"/>
    <w:rsid w:val="00596569"/>
    <w:rsid w:val="0059660B"/>
    <w:rsid w:val="00596A81"/>
    <w:rsid w:val="005975BA"/>
    <w:rsid w:val="005A04F9"/>
    <w:rsid w:val="005A0EB9"/>
    <w:rsid w:val="005A3404"/>
    <w:rsid w:val="005A41CF"/>
    <w:rsid w:val="005A48EB"/>
    <w:rsid w:val="005A53F6"/>
    <w:rsid w:val="005A6F6C"/>
    <w:rsid w:val="005A732E"/>
    <w:rsid w:val="005B0720"/>
    <w:rsid w:val="005B1A74"/>
    <w:rsid w:val="005B2074"/>
    <w:rsid w:val="005B2427"/>
    <w:rsid w:val="005B2D76"/>
    <w:rsid w:val="005B33DF"/>
    <w:rsid w:val="005B4B70"/>
    <w:rsid w:val="005B5E53"/>
    <w:rsid w:val="005B7080"/>
    <w:rsid w:val="005B729A"/>
    <w:rsid w:val="005B7341"/>
    <w:rsid w:val="005B7B3C"/>
    <w:rsid w:val="005B7E05"/>
    <w:rsid w:val="005C0188"/>
    <w:rsid w:val="005C157C"/>
    <w:rsid w:val="005C1A0E"/>
    <w:rsid w:val="005C2992"/>
    <w:rsid w:val="005C33AD"/>
    <w:rsid w:val="005C3F69"/>
    <w:rsid w:val="005C52B4"/>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E03"/>
    <w:rsid w:val="005E66F2"/>
    <w:rsid w:val="005E69F1"/>
    <w:rsid w:val="005E739F"/>
    <w:rsid w:val="005E7520"/>
    <w:rsid w:val="005F0CAB"/>
    <w:rsid w:val="005F0D66"/>
    <w:rsid w:val="005F0E61"/>
    <w:rsid w:val="005F11B0"/>
    <w:rsid w:val="005F17D9"/>
    <w:rsid w:val="005F1861"/>
    <w:rsid w:val="005F2B9A"/>
    <w:rsid w:val="005F2BD7"/>
    <w:rsid w:val="005F3181"/>
    <w:rsid w:val="005F4163"/>
    <w:rsid w:val="005F4849"/>
    <w:rsid w:val="005F7575"/>
    <w:rsid w:val="005F7CC2"/>
    <w:rsid w:val="006000DA"/>
    <w:rsid w:val="00600577"/>
    <w:rsid w:val="00601605"/>
    <w:rsid w:val="00603B48"/>
    <w:rsid w:val="00603EB7"/>
    <w:rsid w:val="00604197"/>
    <w:rsid w:val="00604E93"/>
    <w:rsid w:val="00605734"/>
    <w:rsid w:val="00606721"/>
    <w:rsid w:val="00606B8F"/>
    <w:rsid w:val="00607FDA"/>
    <w:rsid w:val="00610CDC"/>
    <w:rsid w:val="006111E1"/>
    <w:rsid w:val="0061130D"/>
    <w:rsid w:val="00611644"/>
    <w:rsid w:val="00611704"/>
    <w:rsid w:val="00612445"/>
    <w:rsid w:val="0061248D"/>
    <w:rsid w:val="006124B3"/>
    <w:rsid w:val="0061368D"/>
    <w:rsid w:val="00613AF8"/>
    <w:rsid w:val="00613BB9"/>
    <w:rsid w:val="00614B61"/>
    <w:rsid w:val="00614BEA"/>
    <w:rsid w:val="00615413"/>
    <w:rsid w:val="0061556D"/>
    <w:rsid w:val="00616317"/>
    <w:rsid w:val="00616D44"/>
    <w:rsid w:val="00616F6D"/>
    <w:rsid w:val="00617335"/>
    <w:rsid w:val="00620370"/>
    <w:rsid w:val="00620ABA"/>
    <w:rsid w:val="0062180D"/>
    <w:rsid w:val="00621A2C"/>
    <w:rsid w:val="0062236E"/>
    <w:rsid w:val="00622D0E"/>
    <w:rsid w:val="00623C23"/>
    <w:rsid w:val="00624CD7"/>
    <w:rsid w:val="00625082"/>
    <w:rsid w:val="00625892"/>
    <w:rsid w:val="0062665F"/>
    <w:rsid w:val="0062722B"/>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471D1"/>
    <w:rsid w:val="00650384"/>
    <w:rsid w:val="0065174F"/>
    <w:rsid w:val="00652DE7"/>
    <w:rsid w:val="00654E77"/>
    <w:rsid w:val="0065606C"/>
    <w:rsid w:val="00656628"/>
    <w:rsid w:val="006609AE"/>
    <w:rsid w:val="006617C2"/>
    <w:rsid w:val="00661C51"/>
    <w:rsid w:val="006620D5"/>
    <w:rsid w:val="006623F5"/>
    <w:rsid w:val="00662A9F"/>
    <w:rsid w:val="00663485"/>
    <w:rsid w:val="006644E5"/>
    <w:rsid w:val="006648EB"/>
    <w:rsid w:val="00664E16"/>
    <w:rsid w:val="00665858"/>
    <w:rsid w:val="00665C66"/>
    <w:rsid w:val="006663B5"/>
    <w:rsid w:val="00666502"/>
    <w:rsid w:val="00667BCB"/>
    <w:rsid w:val="00671145"/>
    <w:rsid w:val="00674D19"/>
    <w:rsid w:val="006753BA"/>
    <w:rsid w:val="006755DF"/>
    <w:rsid w:val="00676907"/>
    <w:rsid w:val="00676D41"/>
    <w:rsid w:val="00676DE5"/>
    <w:rsid w:val="00676FA1"/>
    <w:rsid w:val="006770F5"/>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ED7"/>
    <w:rsid w:val="006906EF"/>
    <w:rsid w:val="00690B82"/>
    <w:rsid w:val="0069139D"/>
    <w:rsid w:val="006913B6"/>
    <w:rsid w:val="00691BDE"/>
    <w:rsid w:val="006929B2"/>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4BE9"/>
    <w:rsid w:val="006A5AE4"/>
    <w:rsid w:val="006A70F0"/>
    <w:rsid w:val="006A7278"/>
    <w:rsid w:val="006A76DE"/>
    <w:rsid w:val="006A799F"/>
    <w:rsid w:val="006B03D2"/>
    <w:rsid w:val="006B087B"/>
    <w:rsid w:val="006B0BCF"/>
    <w:rsid w:val="006B17CB"/>
    <w:rsid w:val="006B1C3A"/>
    <w:rsid w:val="006B1D23"/>
    <w:rsid w:val="006B1F4B"/>
    <w:rsid w:val="006B201B"/>
    <w:rsid w:val="006B2EB5"/>
    <w:rsid w:val="006B43BB"/>
    <w:rsid w:val="006B47D2"/>
    <w:rsid w:val="006B4F22"/>
    <w:rsid w:val="006B59B6"/>
    <w:rsid w:val="006B5A2F"/>
    <w:rsid w:val="006B7742"/>
    <w:rsid w:val="006B7E51"/>
    <w:rsid w:val="006C236D"/>
    <w:rsid w:val="006C25CE"/>
    <w:rsid w:val="006C3531"/>
    <w:rsid w:val="006C4C64"/>
    <w:rsid w:val="006C5446"/>
    <w:rsid w:val="006C5828"/>
    <w:rsid w:val="006C6482"/>
    <w:rsid w:val="006C65C2"/>
    <w:rsid w:val="006C75C7"/>
    <w:rsid w:val="006C7D48"/>
    <w:rsid w:val="006D0F80"/>
    <w:rsid w:val="006D1139"/>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3B74"/>
    <w:rsid w:val="006E43A2"/>
    <w:rsid w:val="006E5842"/>
    <w:rsid w:val="006E7BEF"/>
    <w:rsid w:val="006E7D5D"/>
    <w:rsid w:val="006F0B9C"/>
    <w:rsid w:val="006F0D0A"/>
    <w:rsid w:val="006F2EB0"/>
    <w:rsid w:val="006F34DE"/>
    <w:rsid w:val="006F4C31"/>
    <w:rsid w:val="006F5004"/>
    <w:rsid w:val="006F53E7"/>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7F8"/>
    <w:rsid w:val="00712EF0"/>
    <w:rsid w:val="007132E7"/>
    <w:rsid w:val="00714276"/>
    <w:rsid w:val="007150CD"/>
    <w:rsid w:val="0071650C"/>
    <w:rsid w:val="00716D73"/>
    <w:rsid w:val="00717FCC"/>
    <w:rsid w:val="00721317"/>
    <w:rsid w:val="007218A2"/>
    <w:rsid w:val="00721AFA"/>
    <w:rsid w:val="0072259C"/>
    <w:rsid w:val="007238D5"/>
    <w:rsid w:val="00723B29"/>
    <w:rsid w:val="00726076"/>
    <w:rsid w:val="00727269"/>
    <w:rsid w:val="007275F8"/>
    <w:rsid w:val="00727962"/>
    <w:rsid w:val="00727BC4"/>
    <w:rsid w:val="00727BFE"/>
    <w:rsid w:val="007301DC"/>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47DD"/>
    <w:rsid w:val="007462FA"/>
    <w:rsid w:val="007474E1"/>
    <w:rsid w:val="00747804"/>
    <w:rsid w:val="00747907"/>
    <w:rsid w:val="007522AE"/>
    <w:rsid w:val="00752A47"/>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77E84"/>
    <w:rsid w:val="007801B9"/>
    <w:rsid w:val="0078061D"/>
    <w:rsid w:val="007819BB"/>
    <w:rsid w:val="00781B4D"/>
    <w:rsid w:val="00782301"/>
    <w:rsid w:val="007830C5"/>
    <w:rsid w:val="00783197"/>
    <w:rsid w:val="00783925"/>
    <w:rsid w:val="007842B2"/>
    <w:rsid w:val="007853CA"/>
    <w:rsid w:val="00786912"/>
    <w:rsid w:val="00786AEF"/>
    <w:rsid w:val="00786CD3"/>
    <w:rsid w:val="00786CF4"/>
    <w:rsid w:val="00786E0B"/>
    <w:rsid w:val="00787E47"/>
    <w:rsid w:val="00787F31"/>
    <w:rsid w:val="00790301"/>
    <w:rsid w:val="00791C53"/>
    <w:rsid w:val="0079203C"/>
    <w:rsid w:val="007924EF"/>
    <w:rsid w:val="007925BE"/>
    <w:rsid w:val="00793ADF"/>
    <w:rsid w:val="00793DC1"/>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ED"/>
    <w:rsid w:val="007B09F9"/>
    <w:rsid w:val="007B0CB5"/>
    <w:rsid w:val="007B17F8"/>
    <w:rsid w:val="007B2A3A"/>
    <w:rsid w:val="007B3937"/>
    <w:rsid w:val="007B3C00"/>
    <w:rsid w:val="007B714C"/>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5BCD"/>
    <w:rsid w:val="007D67FF"/>
    <w:rsid w:val="007D6890"/>
    <w:rsid w:val="007E0E71"/>
    <w:rsid w:val="007E1C82"/>
    <w:rsid w:val="007E1CAC"/>
    <w:rsid w:val="007E1D38"/>
    <w:rsid w:val="007E2972"/>
    <w:rsid w:val="007E3ED2"/>
    <w:rsid w:val="007E482B"/>
    <w:rsid w:val="007E7526"/>
    <w:rsid w:val="007E7DC1"/>
    <w:rsid w:val="007F1E33"/>
    <w:rsid w:val="007F2162"/>
    <w:rsid w:val="007F219C"/>
    <w:rsid w:val="007F326D"/>
    <w:rsid w:val="007F3FB7"/>
    <w:rsid w:val="007F46C4"/>
    <w:rsid w:val="007F4BE5"/>
    <w:rsid w:val="007F4CA1"/>
    <w:rsid w:val="007F5258"/>
    <w:rsid w:val="007F5506"/>
    <w:rsid w:val="007F64F5"/>
    <w:rsid w:val="007F68CE"/>
    <w:rsid w:val="007F6A3D"/>
    <w:rsid w:val="007F75F7"/>
    <w:rsid w:val="007F7BFC"/>
    <w:rsid w:val="007F7D95"/>
    <w:rsid w:val="00800EE5"/>
    <w:rsid w:val="00801CFD"/>
    <w:rsid w:val="00802070"/>
    <w:rsid w:val="0080260E"/>
    <w:rsid w:val="008048CB"/>
    <w:rsid w:val="00804E62"/>
    <w:rsid w:val="008054E6"/>
    <w:rsid w:val="008058B8"/>
    <w:rsid w:val="00805E9B"/>
    <w:rsid w:val="008070FF"/>
    <w:rsid w:val="008107DB"/>
    <w:rsid w:val="00810D8F"/>
    <w:rsid w:val="008120B6"/>
    <w:rsid w:val="008128A7"/>
    <w:rsid w:val="00812920"/>
    <w:rsid w:val="00812C19"/>
    <w:rsid w:val="00812F69"/>
    <w:rsid w:val="008144DF"/>
    <w:rsid w:val="008147CE"/>
    <w:rsid w:val="00815478"/>
    <w:rsid w:val="00817423"/>
    <w:rsid w:val="0082056C"/>
    <w:rsid w:val="00820819"/>
    <w:rsid w:val="008208DC"/>
    <w:rsid w:val="008208E5"/>
    <w:rsid w:val="00820E95"/>
    <w:rsid w:val="0082104F"/>
    <w:rsid w:val="00821191"/>
    <w:rsid w:val="00821445"/>
    <w:rsid w:val="00821D94"/>
    <w:rsid w:val="00821FA4"/>
    <w:rsid w:val="00826F7D"/>
    <w:rsid w:val="0083009A"/>
    <w:rsid w:val="00830949"/>
    <w:rsid w:val="00831D23"/>
    <w:rsid w:val="008324F1"/>
    <w:rsid w:val="00832831"/>
    <w:rsid w:val="008333E3"/>
    <w:rsid w:val="00833841"/>
    <w:rsid w:val="00834E70"/>
    <w:rsid w:val="008351F9"/>
    <w:rsid w:val="00835214"/>
    <w:rsid w:val="00835AFA"/>
    <w:rsid w:val="00836263"/>
    <w:rsid w:val="0083646C"/>
    <w:rsid w:val="008366A6"/>
    <w:rsid w:val="008403F7"/>
    <w:rsid w:val="00841DCC"/>
    <w:rsid w:val="008436EC"/>
    <w:rsid w:val="00843D33"/>
    <w:rsid w:val="00844C6E"/>
    <w:rsid w:val="00845EAA"/>
    <w:rsid w:val="00846CEF"/>
    <w:rsid w:val="00846E3D"/>
    <w:rsid w:val="00847B72"/>
    <w:rsid w:val="00850E67"/>
    <w:rsid w:val="008512C3"/>
    <w:rsid w:val="00852D1F"/>
    <w:rsid w:val="00855112"/>
    <w:rsid w:val="00860306"/>
    <w:rsid w:val="00860559"/>
    <w:rsid w:val="00860683"/>
    <w:rsid w:val="00860871"/>
    <w:rsid w:val="008612F0"/>
    <w:rsid w:val="00862F88"/>
    <w:rsid w:val="008638A2"/>
    <w:rsid w:val="00864775"/>
    <w:rsid w:val="0086550A"/>
    <w:rsid w:val="0086583E"/>
    <w:rsid w:val="00865B2F"/>
    <w:rsid w:val="00866B6D"/>
    <w:rsid w:val="00870253"/>
    <w:rsid w:val="008703F6"/>
    <w:rsid w:val="00871AB9"/>
    <w:rsid w:val="00872C9F"/>
    <w:rsid w:val="00873411"/>
    <w:rsid w:val="0087432F"/>
    <w:rsid w:val="008743A0"/>
    <w:rsid w:val="00874CD3"/>
    <w:rsid w:val="008759DE"/>
    <w:rsid w:val="00877089"/>
    <w:rsid w:val="00877316"/>
    <w:rsid w:val="00877F6A"/>
    <w:rsid w:val="008820DD"/>
    <w:rsid w:val="0088273E"/>
    <w:rsid w:val="00883A60"/>
    <w:rsid w:val="00883E90"/>
    <w:rsid w:val="00883F0F"/>
    <w:rsid w:val="0088434A"/>
    <w:rsid w:val="008845F6"/>
    <w:rsid w:val="0088504D"/>
    <w:rsid w:val="0088577C"/>
    <w:rsid w:val="008861C5"/>
    <w:rsid w:val="008862AB"/>
    <w:rsid w:val="00886703"/>
    <w:rsid w:val="00892B6D"/>
    <w:rsid w:val="0089322E"/>
    <w:rsid w:val="00893D17"/>
    <w:rsid w:val="00893DF8"/>
    <w:rsid w:val="008947A2"/>
    <w:rsid w:val="008968CC"/>
    <w:rsid w:val="00896CDF"/>
    <w:rsid w:val="008974DB"/>
    <w:rsid w:val="008A0A27"/>
    <w:rsid w:val="008A1DA2"/>
    <w:rsid w:val="008A2996"/>
    <w:rsid w:val="008A3020"/>
    <w:rsid w:val="008A315D"/>
    <w:rsid w:val="008A3B1B"/>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63C3"/>
    <w:rsid w:val="008B791B"/>
    <w:rsid w:val="008C02A0"/>
    <w:rsid w:val="008C0F60"/>
    <w:rsid w:val="008C41AE"/>
    <w:rsid w:val="008C6358"/>
    <w:rsid w:val="008C6CB4"/>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6D6"/>
    <w:rsid w:val="008F6F63"/>
    <w:rsid w:val="008F753B"/>
    <w:rsid w:val="008F7F90"/>
    <w:rsid w:val="0090066A"/>
    <w:rsid w:val="00900D75"/>
    <w:rsid w:val="00900FD8"/>
    <w:rsid w:val="0090118F"/>
    <w:rsid w:val="009011A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752"/>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49CA"/>
    <w:rsid w:val="00935613"/>
    <w:rsid w:val="00935787"/>
    <w:rsid w:val="009357AA"/>
    <w:rsid w:val="00936262"/>
    <w:rsid w:val="00936E90"/>
    <w:rsid w:val="00936ED2"/>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0BE"/>
    <w:rsid w:val="00947D8F"/>
    <w:rsid w:val="009505BC"/>
    <w:rsid w:val="00951880"/>
    <w:rsid w:val="00952C53"/>
    <w:rsid w:val="009540B2"/>
    <w:rsid w:val="0095523A"/>
    <w:rsid w:val="009565F7"/>
    <w:rsid w:val="009577FB"/>
    <w:rsid w:val="00957944"/>
    <w:rsid w:val="00960216"/>
    <w:rsid w:val="00960257"/>
    <w:rsid w:val="009603FE"/>
    <w:rsid w:val="00961795"/>
    <w:rsid w:val="00962378"/>
    <w:rsid w:val="00962CB4"/>
    <w:rsid w:val="00962E0C"/>
    <w:rsid w:val="00963201"/>
    <w:rsid w:val="00963D0F"/>
    <w:rsid w:val="00963DEF"/>
    <w:rsid w:val="00964107"/>
    <w:rsid w:val="00964591"/>
    <w:rsid w:val="0096551F"/>
    <w:rsid w:val="0096591F"/>
    <w:rsid w:val="0096693D"/>
    <w:rsid w:val="009707EF"/>
    <w:rsid w:val="0097126D"/>
    <w:rsid w:val="00971644"/>
    <w:rsid w:val="00971F61"/>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3EB1"/>
    <w:rsid w:val="00984AFC"/>
    <w:rsid w:val="00985023"/>
    <w:rsid w:val="00986761"/>
    <w:rsid w:val="00987456"/>
    <w:rsid w:val="00987F44"/>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5C3E"/>
    <w:rsid w:val="009A7F27"/>
    <w:rsid w:val="009B0BC3"/>
    <w:rsid w:val="009B16F9"/>
    <w:rsid w:val="009B1AA2"/>
    <w:rsid w:val="009B2CC9"/>
    <w:rsid w:val="009B2E27"/>
    <w:rsid w:val="009B57C8"/>
    <w:rsid w:val="009B5F0E"/>
    <w:rsid w:val="009C01D5"/>
    <w:rsid w:val="009C02BF"/>
    <w:rsid w:val="009C02FA"/>
    <w:rsid w:val="009C08A1"/>
    <w:rsid w:val="009C0F6A"/>
    <w:rsid w:val="009C1119"/>
    <w:rsid w:val="009C1A8B"/>
    <w:rsid w:val="009C1EAD"/>
    <w:rsid w:val="009C3607"/>
    <w:rsid w:val="009C37F0"/>
    <w:rsid w:val="009C3D7A"/>
    <w:rsid w:val="009C3EEB"/>
    <w:rsid w:val="009C4F5A"/>
    <w:rsid w:val="009C60B7"/>
    <w:rsid w:val="009C6B36"/>
    <w:rsid w:val="009C70B0"/>
    <w:rsid w:val="009D14B4"/>
    <w:rsid w:val="009D2126"/>
    <w:rsid w:val="009D23A2"/>
    <w:rsid w:val="009D28C8"/>
    <w:rsid w:val="009D30D8"/>
    <w:rsid w:val="009D39E8"/>
    <w:rsid w:val="009D4494"/>
    <w:rsid w:val="009D5C0C"/>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07AAC"/>
    <w:rsid w:val="00A104A6"/>
    <w:rsid w:val="00A12A9D"/>
    <w:rsid w:val="00A136FF"/>
    <w:rsid w:val="00A14670"/>
    <w:rsid w:val="00A14ED5"/>
    <w:rsid w:val="00A1588D"/>
    <w:rsid w:val="00A15B5C"/>
    <w:rsid w:val="00A17446"/>
    <w:rsid w:val="00A2162A"/>
    <w:rsid w:val="00A221CB"/>
    <w:rsid w:val="00A222DA"/>
    <w:rsid w:val="00A223D3"/>
    <w:rsid w:val="00A22F88"/>
    <w:rsid w:val="00A2305E"/>
    <w:rsid w:val="00A242D4"/>
    <w:rsid w:val="00A24522"/>
    <w:rsid w:val="00A24F8D"/>
    <w:rsid w:val="00A25B94"/>
    <w:rsid w:val="00A30538"/>
    <w:rsid w:val="00A305E5"/>
    <w:rsid w:val="00A3205F"/>
    <w:rsid w:val="00A320B6"/>
    <w:rsid w:val="00A32ABB"/>
    <w:rsid w:val="00A33AD0"/>
    <w:rsid w:val="00A33D1D"/>
    <w:rsid w:val="00A35453"/>
    <w:rsid w:val="00A359B8"/>
    <w:rsid w:val="00A361C9"/>
    <w:rsid w:val="00A379FF"/>
    <w:rsid w:val="00A40251"/>
    <w:rsid w:val="00A415A7"/>
    <w:rsid w:val="00A4235A"/>
    <w:rsid w:val="00A42A27"/>
    <w:rsid w:val="00A42EC4"/>
    <w:rsid w:val="00A43A60"/>
    <w:rsid w:val="00A448CA"/>
    <w:rsid w:val="00A44DA7"/>
    <w:rsid w:val="00A46AFB"/>
    <w:rsid w:val="00A50397"/>
    <w:rsid w:val="00A50D1D"/>
    <w:rsid w:val="00A517F4"/>
    <w:rsid w:val="00A518D5"/>
    <w:rsid w:val="00A54E9E"/>
    <w:rsid w:val="00A5616B"/>
    <w:rsid w:val="00A5683C"/>
    <w:rsid w:val="00A57914"/>
    <w:rsid w:val="00A60395"/>
    <w:rsid w:val="00A6086E"/>
    <w:rsid w:val="00A62733"/>
    <w:rsid w:val="00A62E39"/>
    <w:rsid w:val="00A63A54"/>
    <w:rsid w:val="00A6438F"/>
    <w:rsid w:val="00A64620"/>
    <w:rsid w:val="00A65340"/>
    <w:rsid w:val="00A656CC"/>
    <w:rsid w:val="00A65FEE"/>
    <w:rsid w:val="00A6644B"/>
    <w:rsid w:val="00A664AB"/>
    <w:rsid w:val="00A66604"/>
    <w:rsid w:val="00A66D95"/>
    <w:rsid w:val="00A66FA9"/>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4AAE"/>
    <w:rsid w:val="00A84C7F"/>
    <w:rsid w:val="00A8537F"/>
    <w:rsid w:val="00A858F3"/>
    <w:rsid w:val="00A86517"/>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69E1"/>
    <w:rsid w:val="00AA7BA6"/>
    <w:rsid w:val="00AA7FF7"/>
    <w:rsid w:val="00AB2CAB"/>
    <w:rsid w:val="00AB34C0"/>
    <w:rsid w:val="00AB3874"/>
    <w:rsid w:val="00AB3E9A"/>
    <w:rsid w:val="00AB4640"/>
    <w:rsid w:val="00AB4A16"/>
    <w:rsid w:val="00AB4EBB"/>
    <w:rsid w:val="00AB6417"/>
    <w:rsid w:val="00AB71B3"/>
    <w:rsid w:val="00AB7849"/>
    <w:rsid w:val="00AB7E56"/>
    <w:rsid w:val="00AC0C97"/>
    <w:rsid w:val="00AC294F"/>
    <w:rsid w:val="00AC2985"/>
    <w:rsid w:val="00AC52E0"/>
    <w:rsid w:val="00AC533C"/>
    <w:rsid w:val="00AC6A2F"/>
    <w:rsid w:val="00AC6A3E"/>
    <w:rsid w:val="00AC7378"/>
    <w:rsid w:val="00AC7DDB"/>
    <w:rsid w:val="00AD12F9"/>
    <w:rsid w:val="00AD1D21"/>
    <w:rsid w:val="00AD2E07"/>
    <w:rsid w:val="00AD347F"/>
    <w:rsid w:val="00AD362D"/>
    <w:rsid w:val="00AD456C"/>
    <w:rsid w:val="00AD4820"/>
    <w:rsid w:val="00AD4838"/>
    <w:rsid w:val="00AD58B6"/>
    <w:rsid w:val="00AD5C89"/>
    <w:rsid w:val="00AD6445"/>
    <w:rsid w:val="00AD648C"/>
    <w:rsid w:val="00AD6C2E"/>
    <w:rsid w:val="00AD6CA1"/>
    <w:rsid w:val="00AD73AD"/>
    <w:rsid w:val="00AD7801"/>
    <w:rsid w:val="00AD7C3E"/>
    <w:rsid w:val="00AE15DA"/>
    <w:rsid w:val="00AE1C08"/>
    <w:rsid w:val="00AE3253"/>
    <w:rsid w:val="00AE5086"/>
    <w:rsid w:val="00AE513B"/>
    <w:rsid w:val="00AE5BE2"/>
    <w:rsid w:val="00AE6186"/>
    <w:rsid w:val="00AE633D"/>
    <w:rsid w:val="00AE6AD7"/>
    <w:rsid w:val="00AE74DF"/>
    <w:rsid w:val="00AE792E"/>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D29"/>
    <w:rsid w:val="00B02181"/>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6837"/>
    <w:rsid w:val="00B17968"/>
    <w:rsid w:val="00B203C6"/>
    <w:rsid w:val="00B20651"/>
    <w:rsid w:val="00B20AFF"/>
    <w:rsid w:val="00B21C02"/>
    <w:rsid w:val="00B223B8"/>
    <w:rsid w:val="00B2259D"/>
    <w:rsid w:val="00B232C2"/>
    <w:rsid w:val="00B2441C"/>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510D"/>
    <w:rsid w:val="00B45B79"/>
    <w:rsid w:val="00B47E12"/>
    <w:rsid w:val="00B51D10"/>
    <w:rsid w:val="00B51D89"/>
    <w:rsid w:val="00B51F3B"/>
    <w:rsid w:val="00B526AF"/>
    <w:rsid w:val="00B52A9B"/>
    <w:rsid w:val="00B52EB5"/>
    <w:rsid w:val="00B53070"/>
    <w:rsid w:val="00B53E0C"/>
    <w:rsid w:val="00B53F08"/>
    <w:rsid w:val="00B540D6"/>
    <w:rsid w:val="00B54B12"/>
    <w:rsid w:val="00B554C6"/>
    <w:rsid w:val="00B55B59"/>
    <w:rsid w:val="00B55DFC"/>
    <w:rsid w:val="00B55FB6"/>
    <w:rsid w:val="00B576E9"/>
    <w:rsid w:val="00B60C2D"/>
    <w:rsid w:val="00B61AB1"/>
    <w:rsid w:val="00B61FFF"/>
    <w:rsid w:val="00B63DCC"/>
    <w:rsid w:val="00B6456C"/>
    <w:rsid w:val="00B6699F"/>
    <w:rsid w:val="00B6701C"/>
    <w:rsid w:val="00B6744E"/>
    <w:rsid w:val="00B6749F"/>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CA9"/>
    <w:rsid w:val="00B83FEC"/>
    <w:rsid w:val="00B8428C"/>
    <w:rsid w:val="00B85EB6"/>
    <w:rsid w:val="00B863BC"/>
    <w:rsid w:val="00B8656B"/>
    <w:rsid w:val="00B87727"/>
    <w:rsid w:val="00B879F1"/>
    <w:rsid w:val="00B900BE"/>
    <w:rsid w:val="00B91B0D"/>
    <w:rsid w:val="00B9281A"/>
    <w:rsid w:val="00B9283A"/>
    <w:rsid w:val="00B92C50"/>
    <w:rsid w:val="00B93CE5"/>
    <w:rsid w:val="00B94251"/>
    <w:rsid w:val="00B942FF"/>
    <w:rsid w:val="00B9479E"/>
    <w:rsid w:val="00B956F6"/>
    <w:rsid w:val="00B95DA9"/>
    <w:rsid w:val="00B972CC"/>
    <w:rsid w:val="00BA0A62"/>
    <w:rsid w:val="00BA0DBC"/>
    <w:rsid w:val="00BA1AF5"/>
    <w:rsid w:val="00BA1F61"/>
    <w:rsid w:val="00BA264B"/>
    <w:rsid w:val="00BA29E5"/>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1F45"/>
    <w:rsid w:val="00BB277B"/>
    <w:rsid w:val="00BB2984"/>
    <w:rsid w:val="00BB31FD"/>
    <w:rsid w:val="00BB3869"/>
    <w:rsid w:val="00BB4751"/>
    <w:rsid w:val="00BB47D2"/>
    <w:rsid w:val="00BB59D1"/>
    <w:rsid w:val="00BB7F10"/>
    <w:rsid w:val="00BC09E9"/>
    <w:rsid w:val="00BC1A5C"/>
    <w:rsid w:val="00BC2E72"/>
    <w:rsid w:val="00BC4446"/>
    <w:rsid w:val="00BC466B"/>
    <w:rsid w:val="00BC49E8"/>
    <w:rsid w:val="00BC4AE2"/>
    <w:rsid w:val="00BC5C6F"/>
    <w:rsid w:val="00BC6A5E"/>
    <w:rsid w:val="00BC7C5E"/>
    <w:rsid w:val="00BD0F12"/>
    <w:rsid w:val="00BD1FFC"/>
    <w:rsid w:val="00BD2278"/>
    <w:rsid w:val="00BD2A29"/>
    <w:rsid w:val="00BD417A"/>
    <w:rsid w:val="00BD5182"/>
    <w:rsid w:val="00BD54A2"/>
    <w:rsid w:val="00BD6268"/>
    <w:rsid w:val="00BD76E7"/>
    <w:rsid w:val="00BD7807"/>
    <w:rsid w:val="00BD7C48"/>
    <w:rsid w:val="00BE04FA"/>
    <w:rsid w:val="00BE0576"/>
    <w:rsid w:val="00BE1F4B"/>
    <w:rsid w:val="00BE2111"/>
    <w:rsid w:val="00BE286C"/>
    <w:rsid w:val="00BE3108"/>
    <w:rsid w:val="00BE320A"/>
    <w:rsid w:val="00BE3C86"/>
    <w:rsid w:val="00BE4332"/>
    <w:rsid w:val="00BE5398"/>
    <w:rsid w:val="00BE6786"/>
    <w:rsid w:val="00BE7242"/>
    <w:rsid w:val="00BE7CA2"/>
    <w:rsid w:val="00BF2ABC"/>
    <w:rsid w:val="00BF2B82"/>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0B9"/>
    <w:rsid w:val="00C138E9"/>
    <w:rsid w:val="00C146C1"/>
    <w:rsid w:val="00C149FD"/>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5E69"/>
    <w:rsid w:val="00C2637A"/>
    <w:rsid w:val="00C2650E"/>
    <w:rsid w:val="00C27EE7"/>
    <w:rsid w:val="00C30495"/>
    <w:rsid w:val="00C30A9F"/>
    <w:rsid w:val="00C312EE"/>
    <w:rsid w:val="00C31D55"/>
    <w:rsid w:val="00C31FBD"/>
    <w:rsid w:val="00C3280E"/>
    <w:rsid w:val="00C32B48"/>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739"/>
    <w:rsid w:val="00C50B98"/>
    <w:rsid w:val="00C516A2"/>
    <w:rsid w:val="00C51861"/>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8FB"/>
    <w:rsid w:val="00C70D43"/>
    <w:rsid w:val="00C70DBB"/>
    <w:rsid w:val="00C71196"/>
    <w:rsid w:val="00C745A7"/>
    <w:rsid w:val="00C7472D"/>
    <w:rsid w:val="00C74BF9"/>
    <w:rsid w:val="00C77881"/>
    <w:rsid w:val="00C77DD1"/>
    <w:rsid w:val="00C77E1E"/>
    <w:rsid w:val="00C809F7"/>
    <w:rsid w:val="00C80BD4"/>
    <w:rsid w:val="00C822CE"/>
    <w:rsid w:val="00C833BA"/>
    <w:rsid w:val="00C83A12"/>
    <w:rsid w:val="00C83C63"/>
    <w:rsid w:val="00C84C1D"/>
    <w:rsid w:val="00C85E2D"/>
    <w:rsid w:val="00C86304"/>
    <w:rsid w:val="00C86678"/>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4C1"/>
    <w:rsid w:val="00CA35B0"/>
    <w:rsid w:val="00CA38E6"/>
    <w:rsid w:val="00CA3A2C"/>
    <w:rsid w:val="00CA4A09"/>
    <w:rsid w:val="00CA5324"/>
    <w:rsid w:val="00CA55DB"/>
    <w:rsid w:val="00CA5686"/>
    <w:rsid w:val="00CA5910"/>
    <w:rsid w:val="00CA5EAD"/>
    <w:rsid w:val="00CA6026"/>
    <w:rsid w:val="00CA63EE"/>
    <w:rsid w:val="00CA7859"/>
    <w:rsid w:val="00CA78E7"/>
    <w:rsid w:val="00CB117D"/>
    <w:rsid w:val="00CB1BA9"/>
    <w:rsid w:val="00CB286E"/>
    <w:rsid w:val="00CB4F1F"/>
    <w:rsid w:val="00CB4F3D"/>
    <w:rsid w:val="00CB509A"/>
    <w:rsid w:val="00CB5236"/>
    <w:rsid w:val="00CB58D2"/>
    <w:rsid w:val="00CB5A1D"/>
    <w:rsid w:val="00CB677D"/>
    <w:rsid w:val="00CB6A6A"/>
    <w:rsid w:val="00CB6A7B"/>
    <w:rsid w:val="00CB7499"/>
    <w:rsid w:val="00CB76AF"/>
    <w:rsid w:val="00CB7FF6"/>
    <w:rsid w:val="00CC0024"/>
    <w:rsid w:val="00CC2048"/>
    <w:rsid w:val="00CC2C14"/>
    <w:rsid w:val="00CC2D28"/>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2F7A"/>
    <w:rsid w:val="00CD40F3"/>
    <w:rsid w:val="00CD41B4"/>
    <w:rsid w:val="00CD46EC"/>
    <w:rsid w:val="00CD4C16"/>
    <w:rsid w:val="00CD4C3F"/>
    <w:rsid w:val="00CD53E3"/>
    <w:rsid w:val="00CD568B"/>
    <w:rsid w:val="00CD5827"/>
    <w:rsid w:val="00CD6018"/>
    <w:rsid w:val="00CE1C95"/>
    <w:rsid w:val="00CE1DC1"/>
    <w:rsid w:val="00CE2706"/>
    <w:rsid w:val="00CE4BF6"/>
    <w:rsid w:val="00CE6037"/>
    <w:rsid w:val="00CE7AFD"/>
    <w:rsid w:val="00CE7CF5"/>
    <w:rsid w:val="00CE7E45"/>
    <w:rsid w:val="00CF0C6F"/>
    <w:rsid w:val="00CF1EC5"/>
    <w:rsid w:val="00CF20CE"/>
    <w:rsid w:val="00CF3811"/>
    <w:rsid w:val="00CF4298"/>
    <w:rsid w:val="00CF5520"/>
    <w:rsid w:val="00CF56F8"/>
    <w:rsid w:val="00CF7939"/>
    <w:rsid w:val="00D008B9"/>
    <w:rsid w:val="00D00CA3"/>
    <w:rsid w:val="00D025BD"/>
    <w:rsid w:val="00D02603"/>
    <w:rsid w:val="00D02C3D"/>
    <w:rsid w:val="00D0309F"/>
    <w:rsid w:val="00D03278"/>
    <w:rsid w:val="00D03FDD"/>
    <w:rsid w:val="00D047DF"/>
    <w:rsid w:val="00D04C3C"/>
    <w:rsid w:val="00D052EF"/>
    <w:rsid w:val="00D053D1"/>
    <w:rsid w:val="00D05524"/>
    <w:rsid w:val="00D057C9"/>
    <w:rsid w:val="00D074A9"/>
    <w:rsid w:val="00D07829"/>
    <w:rsid w:val="00D105A9"/>
    <w:rsid w:val="00D10B5E"/>
    <w:rsid w:val="00D117CD"/>
    <w:rsid w:val="00D11A91"/>
    <w:rsid w:val="00D12634"/>
    <w:rsid w:val="00D1299D"/>
    <w:rsid w:val="00D138B5"/>
    <w:rsid w:val="00D146D4"/>
    <w:rsid w:val="00D1621C"/>
    <w:rsid w:val="00D1664D"/>
    <w:rsid w:val="00D16CE6"/>
    <w:rsid w:val="00D173B5"/>
    <w:rsid w:val="00D1767A"/>
    <w:rsid w:val="00D17DDB"/>
    <w:rsid w:val="00D2110B"/>
    <w:rsid w:val="00D21C45"/>
    <w:rsid w:val="00D222D5"/>
    <w:rsid w:val="00D224F1"/>
    <w:rsid w:val="00D22BC7"/>
    <w:rsid w:val="00D232EF"/>
    <w:rsid w:val="00D25888"/>
    <w:rsid w:val="00D25C84"/>
    <w:rsid w:val="00D27163"/>
    <w:rsid w:val="00D27234"/>
    <w:rsid w:val="00D27A1C"/>
    <w:rsid w:val="00D30C17"/>
    <w:rsid w:val="00D30FD0"/>
    <w:rsid w:val="00D31255"/>
    <w:rsid w:val="00D312F9"/>
    <w:rsid w:val="00D31621"/>
    <w:rsid w:val="00D31CB2"/>
    <w:rsid w:val="00D32232"/>
    <w:rsid w:val="00D32800"/>
    <w:rsid w:val="00D32FCF"/>
    <w:rsid w:val="00D330BF"/>
    <w:rsid w:val="00D33C4C"/>
    <w:rsid w:val="00D33EA9"/>
    <w:rsid w:val="00D33F5A"/>
    <w:rsid w:val="00D34440"/>
    <w:rsid w:val="00D3580C"/>
    <w:rsid w:val="00D365FA"/>
    <w:rsid w:val="00D36935"/>
    <w:rsid w:val="00D37AD1"/>
    <w:rsid w:val="00D37C30"/>
    <w:rsid w:val="00D37EA4"/>
    <w:rsid w:val="00D407A4"/>
    <w:rsid w:val="00D408BE"/>
    <w:rsid w:val="00D40D1E"/>
    <w:rsid w:val="00D4298C"/>
    <w:rsid w:val="00D43B38"/>
    <w:rsid w:val="00D44113"/>
    <w:rsid w:val="00D44ABC"/>
    <w:rsid w:val="00D44E72"/>
    <w:rsid w:val="00D459AB"/>
    <w:rsid w:val="00D462BE"/>
    <w:rsid w:val="00D463CB"/>
    <w:rsid w:val="00D464B4"/>
    <w:rsid w:val="00D46D54"/>
    <w:rsid w:val="00D4771C"/>
    <w:rsid w:val="00D5023E"/>
    <w:rsid w:val="00D505DE"/>
    <w:rsid w:val="00D510B0"/>
    <w:rsid w:val="00D52934"/>
    <w:rsid w:val="00D53759"/>
    <w:rsid w:val="00D53D6C"/>
    <w:rsid w:val="00D54631"/>
    <w:rsid w:val="00D54BB0"/>
    <w:rsid w:val="00D554FA"/>
    <w:rsid w:val="00D558A8"/>
    <w:rsid w:val="00D558F1"/>
    <w:rsid w:val="00D56B38"/>
    <w:rsid w:val="00D56E99"/>
    <w:rsid w:val="00D570C2"/>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41D"/>
    <w:rsid w:val="00D7291E"/>
    <w:rsid w:val="00D72C36"/>
    <w:rsid w:val="00D73CA4"/>
    <w:rsid w:val="00D753B9"/>
    <w:rsid w:val="00D75500"/>
    <w:rsid w:val="00D75587"/>
    <w:rsid w:val="00D755AE"/>
    <w:rsid w:val="00D7649E"/>
    <w:rsid w:val="00D77668"/>
    <w:rsid w:val="00D80026"/>
    <w:rsid w:val="00D8044A"/>
    <w:rsid w:val="00D80C34"/>
    <w:rsid w:val="00D827EF"/>
    <w:rsid w:val="00D837D6"/>
    <w:rsid w:val="00D83E47"/>
    <w:rsid w:val="00D85ECE"/>
    <w:rsid w:val="00D85F49"/>
    <w:rsid w:val="00D86A7E"/>
    <w:rsid w:val="00D86EB9"/>
    <w:rsid w:val="00D87450"/>
    <w:rsid w:val="00D87A3B"/>
    <w:rsid w:val="00D87D63"/>
    <w:rsid w:val="00D90D1E"/>
    <w:rsid w:val="00D91AD5"/>
    <w:rsid w:val="00D92BB1"/>
    <w:rsid w:val="00D92CDF"/>
    <w:rsid w:val="00D93431"/>
    <w:rsid w:val="00D93F9F"/>
    <w:rsid w:val="00D94AC3"/>
    <w:rsid w:val="00D94CF7"/>
    <w:rsid w:val="00D95A5F"/>
    <w:rsid w:val="00D95F7A"/>
    <w:rsid w:val="00D968E9"/>
    <w:rsid w:val="00D97AA1"/>
    <w:rsid w:val="00DA0308"/>
    <w:rsid w:val="00DA06C2"/>
    <w:rsid w:val="00DA0999"/>
    <w:rsid w:val="00DA13CB"/>
    <w:rsid w:val="00DA16D9"/>
    <w:rsid w:val="00DA2E3B"/>
    <w:rsid w:val="00DA3CAD"/>
    <w:rsid w:val="00DA43E9"/>
    <w:rsid w:val="00DA5837"/>
    <w:rsid w:val="00DA628D"/>
    <w:rsid w:val="00DA6A64"/>
    <w:rsid w:val="00DA78A1"/>
    <w:rsid w:val="00DA7920"/>
    <w:rsid w:val="00DB02F5"/>
    <w:rsid w:val="00DB0585"/>
    <w:rsid w:val="00DB090B"/>
    <w:rsid w:val="00DB0BC6"/>
    <w:rsid w:val="00DB16AC"/>
    <w:rsid w:val="00DB20DD"/>
    <w:rsid w:val="00DB27CE"/>
    <w:rsid w:val="00DB35C9"/>
    <w:rsid w:val="00DB3BDD"/>
    <w:rsid w:val="00DB4858"/>
    <w:rsid w:val="00DB486F"/>
    <w:rsid w:val="00DB4CC3"/>
    <w:rsid w:val="00DB5DBD"/>
    <w:rsid w:val="00DB7734"/>
    <w:rsid w:val="00DB7F30"/>
    <w:rsid w:val="00DB7FEE"/>
    <w:rsid w:val="00DC0377"/>
    <w:rsid w:val="00DC0991"/>
    <w:rsid w:val="00DC1118"/>
    <w:rsid w:val="00DC2336"/>
    <w:rsid w:val="00DC23BA"/>
    <w:rsid w:val="00DC4387"/>
    <w:rsid w:val="00DC43FA"/>
    <w:rsid w:val="00DC46C7"/>
    <w:rsid w:val="00DC4E7C"/>
    <w:rsid w:val="00DC6922"/>
    <w:rsid w:val="00DC7389"/>
    <w:rsid w:val="00DD000F"/>
    <w:rsid w:val="00DD238F"/>
    <w:rsid w:val="00DD245F"/>
    <w:rsid w:val="00DD2CAA"/>
    <w:rsid w:val="00DD46B7"/>
    <w:rsid w:val="00DD4C53"/>
    <w:rsid w:val="00DD57F7"/>
    <w:rsid w:val="00DD6636"/>
    <w:rsid w:val="00DD6D50"/>
    <w:rsid w:val="00DD71A7"/>
    <w:rsid w:val="00DE031C"/>
    <w:rsid w:val="00DE089E"/>
    <w:rsid w:val="00DE29DE"/>
    <w:rsid w:val="00DE3152"/>
    <w:rsid w:val="00DE33CC"/>
    <w:rsid w:val="00DE362D"/>
    <w:rsid w:val="00DE48E7"/>
    <w:rsid w:val="00DE7E55"/>
    <w:rsid w:val="00DF0382"/>
    <w:rsid w:val="00DF058D"/>
    <w:rsid w:val="00DF1CE1"/>
    <w:rsid w:val="00DF1E16"/>
    <w:rsid w:val="00DF225D"/>
    <w:rsid w:val="00DF280B"/>
    <w:rsid w:val="00DF2D6F"/>
    <w:rsid w:val="00DF44A0"/>
    <w:rsid w:val="00DF4831"/>
    <w:rsid w:val="00DF492D"/>
    <w:rsid w:val="00DF5778"/>
    <w:rsid w:val="00DF641A"/>
    <w:rsid w:val="00DF6E78"/>
    <w:rsid w:val="00DF6F1C"/>
    <w:rsid w:val="00DF7D53"/>
    <w:rsid w:val="00E0027D"/>
    <w:rsid w:val="00E002DD"/>
    <w:rsid w:val="00E00DC3"/>
    <w:rsid w:val="00E01356"/>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4C3C"/>
    <w:rsid w:val="00E35BD2"/>
    <w:rsid w:val="00E35FCC"/>
    <w:rsid w:val="00E3624B"/>
    <w:rsid w:val="00E36E69"/>
    <w:rsid w:val="00E375F6"/>
    <w:rsid w:val="00E37704"/>
    <w:rsid w:val="00E40DC8"/>
    <w:rsid w:val="00E41013"/>
    <w:rsid w:val="00E426F5"/>
    <w:rsid w:val="00E42C6A"/>
    <w:rsid w:val="00E42F1A"/>
    <w:rsid w:val="00E4367B"/>
    <w:rsid w:val="00E43BBA"/>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3E8D"/>
    <w:rsid w:val="00E55E07"/>
    <w:rsid w:val="00E56AE2"/>
    <w:rsid w:val="00E57115"/>
    <w:rsid w:val="00E5738A"/>
    <w:rsid w:val="00E57ADB"/>
    <w:rsid w:val="00E60E9C"/>
    <w:rsid w:val="00E6188E"/>
    <w:rsid w:val="00E61CF3"/>
    <w:rsid w:val="00E6204E"/>
    <w:rsid w:val="00E6322C"/>
    <w:rsid w:val="00E63619"/>
    <w:rsid w:val="00E63A3B"/>
    <w:rsid w:val="00E64C94"/>
    <w:rsid w:val="00E64D91"/>
    <w:rsid w:val="00E65065"/>
    <w:rsid w:val="00E66AF8"/>
    <w:rsid w:val="00E66B82"/>
    <w:rsid w:val="00E722D9"/>
    <w:rsid w:val="00E733CB"/>
    <w:rsid w:val="00E73A1F"/>
    <w:rsid w:val="00E74A3D"/>
    <w:rsid w:val="00E74BA8"/>
    <w:rsid w:val="00E74BEF"/>
    <w:rsid w:val="00E7560C"/>
    <w:rsid w:val="00E7636A"/>
    <w:rsid w:val="00E7720D"/>
    <w:rsid w:val="00E77AAB"/>
    <w:rsid w:val="00E80DBD"/>
    <w:rsid w:val="00E80F8D"/>
    <w:rsid w:val="00E812AD"/>
    <w:rsid w:val="00E8141E"/>
    <w:rsid w:val="00E82926"/>
    <w:rsid w:val="00E83625"/>
    <w:rsid w:val="00E83F34"/>
    <w:rsid w:val="00E85390"/>
    <w:rsid w:val="00E86197"/>
    <w:rsid w:val="00E87323"/>
    <w:rsid w:val="00E9130A"/>
    <w:rsid w:val="00E91F10"/>
    <w:rsid w:val="00E93F11"/>
    <w:rsid w:val="00E94D41"/>
    <w:rsid w:val="00E95FD1"/>
    <w:rsid w:val="00E96B92"/>
    <w:rsid w:val="00E97B2C"/>
    <w:rsid w:val="00E97D4B"/>
    <w:rsid w:val="00EA0A39"/>
    <w:rsid w:val="00EA2D80"/>
    <w:rsid w:val="00EA3CE5"/>
    <w:rsid w:val="00EA3D8F"/>
    <w:rsid w:val="00EA43C9"/>
    <w:rsid w:val="00EA4D4A"/>
    <w:rsid w:val="00EA5073"/>
    <w:rsid w:val="00EA6825"/>
    <w:rsid w:val="00EA710C"/>
    <w:rsid w:val="00EA7789"/>
    <w:rsid w:val="00EB00EA"/>
    <w:rsid w:val="00EB078B"/>
    <w:rsid w:val="00EB1B51"/>
    <w:rsid w:val="00EB1DE7"/>
    <w:rsid w:val="00EB2758"/>
    <w:rsid w:val="00EB2CF2"/>
    <w:rsid w:val="00EB3206"/>
    <w:rsid w:val="00EB3F26"/>
    <w:rsid w:val="00EB41CF"/>
    <w:rsid w:val="00EB4252"/>
    <w:rsid w:val="00EB461F"/>
    <w:rsid w:val="00EB4C92"/>
    <w:rsid w:val="00EB4F66"/>
    <w:rsid w:val="00EB5899"/>
    <w:rsid w:val="00EB5BA1"/>
    <w:rsid w:val="00EB6B05"/>
    <w:rsid w:val="00EC0260"/>
    <w:rsid w:val="00EC0AE8"/>
    <w:rsid w:val="00EC0CE4"/>
    <w:rsid w:val="00EC0FDB"/>
    <w:rsid w:val="00EC293D"/>
    <w:rsid w:val="00EC3AF0"/>
    <w:rsid w:val="00EC6646"/>
    <w:rsid w:val="00EC6A7F"/>
    <w:rsid w:val="00EC7634"/>
    <w:rsid w:val="00EC77D4"/>
    <w:rsid w:val="00ED0F26"/>
    <w:rsid w:val="00ED17DC"/>
    <w:rsid w:val="00ED1D17"/>
    <w:rsid w:val="00ED1D3A"/>
    <w:rsid w:val="00ED5134"/>
    <w:rsid w:val="00ED630B"/>
    <w:rsid w:val="00ED72FC"/>
    <w:rsid w:val="00ED7D0D"/>
    <w:rsid w:val="00EE0996"/>
    <w:rsid w:val="00EE0EFD"/>
    <w:rsid w:val="00EE13DE"/>
    <w:rsid w:val="00EE1743"/>
    <w:rsid w:val="00EE1BC5"/>
    <w:rsid w:val="00EE1D0B"/>
    <w:rsid w:val="00EE21B0"/>
    <w:rsid w:val="00EE2C34"/>
    <w:rsid w:val="00EE2F6D"/>
    <w:rsid w:val="00EE30DF"/>
    <w:rsid w:val="00EE3667"/>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5C38"/>
    <w:rsid w:val="00F061EE"/>
    <w:rsid w:val="00F06EC0"/>
    <w:rsid w:val="00F071B5"/>
    <w:rsid w:val="00F074D7"/>
    <w:rsid w:val="00F07870"/>
    <w:rsid w:val="00F07A56"/>
    <w:rsid w:val="00F11ABF"/>
    <w:rsid w:val="00F1214A"/>
    <w:rsid w:val="00F12320"/>
    <w:rsid w:val="00F139BE"/>
    <w:rsid w:val="00F145CA"/>
    <w:rsid w:val="00F14A21"/>
    <w:rsid w:val="00F15F34"/>
    <w:rsid w:val="00F1711B"/>
    <w:rsid w:val="00F17645"/>
    <w:rsid w:val="00F17736"/>
    <w:rsid w:val="00F17A2A"/>
    <w:rsid w:val="00F17D57"/>
    <w:rsid w:val="00F21662"/>
    <w:rsid w:val="00F2195D"/>
    <w:rsid w:val="00F22E26"/>
    <w:rsid w:val="00F23FFA"/>
    <w:rsid w:val="00F240C7"/>
    <w:rsid w:val="00F249BF"/>
    <w:rsid w:val="00F25613"/>
    <w:rsid w:val="00F25AE6"/>
    <w:rsid w:val="00F26E49"/>
    <w:rsid w:val="00F30966"/>
    <w:rsid w:val="00F30BAE"/>
    <w:rsid w:val="00F30F1F"/>
    <w:rsid w:val="00F31777"/>
    <w:rsid w:val="00F31C86"/>
    <w:rsid w:val="00F3224A"/>
    <w:rsid w:val="00F3377A"/>
    <w:rsid w:val="00F3464E"/>
    <w:rsid w:val="00F348CA"/>
    <w:rsid w:val="00F34CDD"/>
    <w:rsid w:val="00F34F61"/>
    <w:rsid w:val="00F3567F"/>
    <w:rsid w:val="00F3594E"/>
    <w:rsid w:val="00F36602"/>
    <w:rsid w:val="00F36FB1"/>
    <w:rsid w:val="00F403BA"/>
    <w:rsid w:val="00F410A7"/>
    <w:rsid w:val="00F4185A"/>
    <w:rsid w:val="00F42AE8"/>
    <w:rsid w:val="00F42D72"/>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1C94"/>
    <w:rsid w:val="00F6202F"/>
    <w:rsid w:val="00F6237D"/>
    <w:rsid w:val="00F62834"/>
    <w:rsid w:val="00F62AE2"/>
    <w:rsid w:val="00F644EC"/>
    <w:rsid w:val="00F645E8"/>
    <w:rsid w:val="00F645F7"/>
    <w:rsid w:val="00F646C5"/>
    <w:rsid w:val="00F648B2"/>
    <w:rsid w:val="00F64ABD"/>
    <w:rsid w:val="00F64DA0"/>
    <w:rsid w:val="00F65CC2"/>
    <w:rsid w:val="00F67CFF"/>
    <w:rsid w:val="00F704B3"/>
    <w:rsid w:val="00F70EFF"/>
    <w:rsid w:val="00F71578"/>
    <w:rsid w:val="00F71698"/>
    <w:rsid w:val="00F71905"/>
    <w:rsid w:val="00F71F8F"/>
    <w:rsid w:val="00F72153"/>
    <w:rsid w:val="00F72335"/>
    <w:rsid w:val="00F733A7"/>
    <w:rsid w:val="00F738F7"/>
    <w:rsid w:val="00F73E63"/>
    <w:rsid w:val="00F74819"/>
    <w:rsid w:val="00F74852"/>
    <w:rsid w:val="00F7512B"/>
    <w:rsid w:val="00F76A45"/>
    <w:rsid w:val="00F76CAA"/>
    <w:rsid w:val="00F76E95"/>
    <w:rsid w:val="00F77B8A"/>
    <w:rsid w:val="00F77FC8"/>
    <w:rsid w:val="00F80261"/>
    <w:rsid w:val="00F8107C"/>
    <w:rsid w:val="00F813E2"/>
    <w:rsid w:val="00F8151A"/>
    <w:rsid w:val="00F82E42"/>
    <w:rsid w:val="00F84335"/>
    <w:rsid w:val="00F84B59"/>
    <w:rsid w:val="00F84F8C"/>
    <w:rsid w:val="00F85DBB"/>
    <w:rsid w:val="00F8669F"/>
    <w:rsid w:val="00F87A5B"/>
    <w:rsid w:val="00F909A0"/>
    <w:rsid w:val="00F90DAF"/>
    <w:rsid w:val="00F91A09"/>
    <w:rsid w:val="00F92C62"/>
    <w:rsid w:val="00F932D5"/>
    <w:rsid w:val="00F9330E"/>
    <w:rsid w:val="00F941DD"/>
    <w:rsid w:val="00F94372"/>
    <w:rsid w:val="00F9473C"/>
    <w:rsid w:val="00F94968"/>
    <w:rsid w:val="00F9509E"/>
    <w:rsid w:val="00F95A09"/>
    <w:rsid w:val="00F972C1"/>
    <w:rsid w:val="00FA0074"/>
    <w:rsid w:val="00FA1553"/>
    <w:rsid w:val="00FA2F6A"/>
    <w:rsid w:val="00FA55E5"/>
    <w:rsid w:val="00FA5A55"/>
    <w:rsid w:val="00FA7232"/>
    <w:rsid w:val="00FB0122"/>
    <w:rsid w:val="00FB220A"/>
    <w:rsid w:val="00FB29A7"/>
    <w:rsid w:val="00FB2E48"/>
    <w:rsid w:val="00FB5555"/>
    <w:rsid w:val="00FB6124"/>
    <w:rsid w:val="00FB61C8"/>
    <w:rsid w:val="00FB635A"/>
    <w:rsid w:val="00FB64F3"/>
    <w:rsid w:val="00FB7291"/>
    <w:rsid w:val="00FB789E"/>
    <w:rsid w:val="00FB7CF8"/>
    <w:rsid w:val="00FC08EC"/>
    <w:rsid w:val="00FC0A5C"/>
    <w:rsid w:val="00FC0C0B"/>
    <w:rsid w:val="00FC10C9"/>
    <w:rsid w:val="00FC14BC"/>
    <w:rsid w:val="00FC19CE"/>
    <w:rsid w:val="00FC2236"/>
    <w:rsid w:val="00FC26CF"/>
    <w:rsid w:val="00FC402B"/>
    <w:rsid w:val="00FC4270"/>
    <w:rsid w:val="00FC4999"/>
    <w:rsid w:val="00FC572B"/>
    <w:rsid w:val="00FC6743"/>
    <w:rsid w:val="00FC6786"/>
    <w:rsid w:val="00FC6E2A"/>
    <w:rsid w:val="00FC7E62"/>
    <w:rsid w:val="00FD00B5"/>
    <w:rsid w:val="00FD0295"/>
    <w:rsid w:val="00FD1088"/>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E6915"/>
    <w:rsid w:val="00FF1096"/>
    <w:rsid w:val="00FF6C26"/>
    <w:rsid w:val="00FF6E9B"/>
    <w:rsid w:val="00FF7AC6"/>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BEF11E3"/>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497F9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3FE80AD9"/>
    <w:rsid w:val="40865941"/>
    <w:rsid w:val="416318D4"/>
    <w:rsid w:val="417F239B"/>
    <w:rsid w:val="41F25792"/>
    <w:rsid w:val="42974085"/>
    <w:rsid w:val="444F3EA9"/>
    <w:rsid w:val="452B5932"/>
    <w:rsid w:val="45497D2B"/>
    <w:rsid w:val="45820476"/>
    <w:rsid w:val="45C11FF3"/>
    <w:rsid w:val="47775AD7"/>
    <w:rsid w:val="47B916EB"/>
    <w:rsid w:val="47CD6427"/>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3">
    <w:name w:val="heading 2"/>
    <w:basedOn w:val="1"/>
    <w:next w:val="1"/>
    <w:link w:val="65"/>
    <w:autoRedefine/>
    <w:qFormat/>
    <w:uiPriority w:val="99"/>
    <w:pPr>
      <w:keepNext/>
      <w:keepLines/>
      <w:snapToGrid w:val="0"/>
      <w:spacing w:beforeLines="100" w:afterLines="100" w:line="416" w:lineRule="auto"/>
      <w:ind w:right="210" w:rightChars="100"/>
      <w:outlineLvl w:val="1"/>
    </w:pPr>
    <w:rPr>
      <w:rFonts w:ascii="Arial" w:hAnsi="宋体" w:eastAsia="黑体"/>
      <w:bCs/>
      <w:sz w:val="24"/>
    </w:rPr>
  </w:style>
  <w:style w:type="paragraph" w:styleId="4">
    <w:name w:val="heading 3"/>
    <w:basedOn w:val="1"/>
    <w:next w:val="5"/>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autoRedefine/>
    <w:qFormat/>
    <w:uiPriority w:val="0"/>
    <w:pPr>
      <w:keepNext/>
      <w:outlineLvl w:val="3"/>
    </w:pPr>
    <w:rPr>
      <w:sz w:val="28"/>
      <w:szCs w:val="20"/>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99"/>
    <w:pPr>
      <w:keepNext/>
      <w:keepLines/>
      <w:spacing w:before="240" w:after="64" w:line="320" w:lineRule="auto"/>
      <w:outlineLvl w:val="6"/>
    </w:pPr>
    <w:rPr>
      <w:b/>
      <w:bCs/>
      <w:sz w:val="24"/>
    </w:rPr>
  </w:style>
  <w:style w:type="paragraph" w:styleId="10">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99"/>
    <w:pPr>
      <w:ind w:left="2520" w:leftChars="1200"/>
    </w:pPr>
    <w:rPr>
      <w:rFonts w:ascii="Calibri" w:hAnsi="Calibri"/>
      <w:szCs w:val="22"/>
    </w:rPr>
  </w:style>
  <w:style w:type="paragraph" w:styleId="13">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autoRedefine/>
    <w:qFormat/>
    <w:uiPriority w:val="99"/>
    <w:pPr>
      <w:tabs>
        <w:tab w:val="left" w:pos="360"/>
      </w:tabs>
      <w:ind w:left="360" w:hanging="200" w:hangingChars="200"/>
    </w:p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68"/>
    <w:autoRedefine/>
    <w:semiHidden/>
    <w:qFormat/>
    <w:uiPriority w:val="99"/>
    <w:rPr>
      <w:rFonts w:ascii="宋体"/>
      <w:sz w:val="18"/>
      <w:szCs w:val="18"/>
    </w:rPr>
  </w:style>
  <w:style w:type="paragraph" w:styleId="18">
    <w:name w:val="annotation text"/>
    <w:basedOn w:val="1"/>
    <w:link w:val="69"/>
    <w:autoRedefine/>
    <w:qFormat/>
    <w:uiPriority w:val="0"/>
    <w:pPr>
      <w:jc w:val="left"/>
    </w:pPr>
    <w:rPr>
      <w:szCs w:val="20"/>
    </w:rPr>
  </w:style>
  <w:style w:type="paragraph" w:styleId="19">
    <w:name w:val="Body Text 3"/>
    <w:basedOn w:val="1"/>
    <w:link w:val="70"/>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autoRedefine/>
    <w:qFormat/>
    <w:uiPriority w:val="99"/>
    <w:rPr>
      <w:sz w:val="28"/>
      <w:szCs w:val="20"/>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Char1"/>
    <w:link w:val="22"/>
    <w:autoRedefine/>
    <w:qFormat/>
    <w:uiPriority w:val="0"/>
    <w:rPr>
      <w:rFonts w:ascii="楷体_GB2312" w:eastAsia="楷体_GB2312"/>
      <w:sz w:val="28"/>
    </w:rPr>
  </w:style>
  <w:style w:type="character" w:customStyle="1" w:styleId="63">
    <w:name w:val="正文首行缩进 2 Char"/>
    <w:link w:val="52"/>
    <w:autoRedefine/>
    <w:qFormat/>
    <w:uiPriority w:val="99"/>
    <w:rPr>
      <w:rFonts w:ascii="楷体_GB2312" w:eastAsia="楷体_GB2312"/>
      <w:sz w:val="28"/>
    </w:rPr>
  </w:style>
  <w:style w:type="character" w:customStyle="1" w:styleId="64">
    <w:name w:val="标题 1 Char1"/>
    <w:link w:val="2"/>
    <w:autoRedefine/>
    <w:qFormat/>
    <w:uiPriority w:val="0"/>
    <w:rPr>
      <w:rFonts w:eastAsia="黑体"/>
      <w:bCs/>
      <w:kern w:val="44"/>
      <w:sz w:val="30"/>
      <w:szCs w:val="44"/>
    </w:rPr>
  </w:style>
  <w:style w:type="character" w:customStyle="1" w:styleId="65">
    <w:name w:val="标题 2 Char"/>
    <w:link w:val="3"/>
    <w:autoRedefine/>
    <w:qFormat/>
    <w:uiPriority w:val="99"/>
    <w:rPr>
      <w:rFonts w:ascii="Arial" w:hAnsi="宋体" w:eastAsia="黑体"/>
      <w:bCs/>
      <w:kern w:val="2"/>
      <w:sz w:val="24"/>
      <w:szCs w:val="24"/>
    </w:rPr>
  </w:style>
  <w:style w:type="character" w:customStyle="1" w:styleId="66">
    <w:name w:val="标题 3 Char"/>
    <w:link w:val="4"/>
    <w:autoRedefine/>
    <w:qFormat/>
    <w:uiPriority w:val="99"/>
    <w:rPr>
      <w:rFonts w:ascii="黑体" w:eastAsia="黑体"/>
      <w:sz w:val="28"/>
    </w:rPr>
  </w:style>
  <w:style w:type="character" w:customStyle="1" w:styleId="67">
    <w:name w:val="正文缩进 Char"/>
    <w:link w:val="5"/>
    <w:autoRedefine/>
    <w:qFormat/>
    <w:uiPriority w:val="0"/>
    <w:rPr>
      <w:rFonts w:ascii="楷体_GB2312" w:eastAsia="楷体_GB2312"/>
      <w:sz w:val="28"/>
    </w:rPr>
  </w:style>
  <w:style w:type="character" w:customStyle="1" w:styleId="68">
    <w:name w:val="文档结构图 Char"/>
    <w:link w:val="17"/>
    <w:autoRedefine/>
    <w:semiHidden/>
    <w:qFormat/>
    <w:uiPriority w:val="99"/>
    <w:rPr>
      <w:rFonts w:ascii="宋体"/>
      <w:kern w:val="2"/>
      <w:sz w:val="18"/>
      <w:szCs w:val="18"/>
    </w:rPr>
  </w:style>
  <w:style w:type="character" w:customStyle="1" w:styleId="69">
    <w:name w:val="批注文字 Char2"/>
    <w:link w:val="18"/>
    <w:autoRedefine/>
    <w:qFormat/>
    <w:uiPriority w:val="99"/>
    <w:rPr>
      <w:rFonts w:eastAsia="宋体"/>
      <w:kern w:val="2"/>
      <w:sz w:val="21"/>
      <w:lang w:val="en-US" w:eastAsia="zh-CN" w:bidi="ar-SA"/>
    </w:rPr>
  </w:style>
  <w:style w:type="character" w:customStyle="1" w:styleId="70">
    <w:name w:val="正文文本 3 Char"/>
    <w:link w:val="19"/>
    <w:autoRedefine/>
    <w:qFormat/>
    <w:uiPriority w:val="99"/>
    <w:rPr>
      <w:kern w:val="2"/>
      <w:sz w:val="16"/>
      <w:szCs w:val="16"/>
    </w:rPr>
  </w:style>
  <w:style w:type="character" w:customStyle="1" w:styleId="71">
    <w:name w:val="正文文本 Char1"/>
    <w:link w:val="21"/>
    <w:autoRedefine/>
    <w:qFormat/>
    <w:uiPriority w:val="0"/>
    <w:rPr>
      <w:kern w:val="2"/>
      <w:sz w:val="28"/>
    </w:rPr>
  </w:style>
  <w:style w:type="character" w:customStyle="1" w:styleId="72">
    <w:name w:val="正文首行缩进 Char"/>
    <w:link w:val="26"/>
    <w:autoRedefine/>
    <w:qFormat/>
    <w:locked/>
    <w:uiPriority w:val="99"/>
  </w:style>
  <w:style w:type="character" w:customStyle="1" w:styleId="73">
    <w:name w:val="日期 Char"/>
    <w:link w:val="33"/>
    <w:autoRedefine/>
    <w:qFormat/>
    <w:uiPriority w:val="99"/>
    <w:rPr>
      <w:kern w:val="2"/>
      <w:sz w:val="21"/>
    </w:rPr>
  </w:style>
  <w:style w:type="character" w:customStyle="1" w:styleId="74">
    <w:name w:val="批注框文本 Char"/>
    <w:link w:val="35"/>
    <w:autoRedefine/>
    <w:semiHidden/>
    <w:qFormat/>
    <w:uiPriority w:val="99"/>
    <w:rPr>
      <w:kern w:val="2"/>
      <w:sz w:val="18"/>
      <w:szCs w:val="18"/>
    </w:rPr>
  </w:style>
  <w:style w:type="character" w:customStyle="1" w:styleId="75">
    <w:name w:val="页脚 Char"/>
    <w:link w:val="36"/>
    <w:autoRedefine/>
    <w:qFormat/>
    <w:uiPriority w:val="99"/>
    <w:rPr>
      <w:kern w:val="2"/>
      <w:sz w:val="18"/>
      <w:szCs w:val="18"/>
    </w:rPr>
  </w:style>
  <w:style w:type="character" w:customStyle="1" w:styleId="76">
    <w:name w:val="页眉 Char"/>
    <w:link w:val="37"/>
    <w:autoRedefine/>
    <w:qFormat/>
    <w:uiPriority w:val="99"/>
    <w:rPr>
      <w:kern w:val="2"/>
      <w:sz w:val="18"/>
      <w:szCs w:val="18"/>
    </w:rPr>
  </w:style>
  <w:style w:type="character" w:customStyle="1" w:styleId="77">
    <w:name w:val="副标题 Char"/>
    <w:link w:val="42"/>
    <w:autoRedefine/>
    <w:qFormat/>
    <w:uiPriority w:val="0"/>
    <w:rPr>
      <w:rFonts w:ascii="Cambria" w:hAnsi="Cambria" w:cs="黑体"/>
      <w:b/>
      <w:bCs/>
      <w:kern w:val="28"/>
      <w:sz w:val="32"/>
      <w:szCs w:val="32"/>
    </w:rPr>
  </w:style>
  <w:style w:type="character" w:customStyle="1" w:styleId="78">
    <w:name w:val="正文文本 2 Char"/>
    <w:link w:val="48"/>
    <w:autoRedefine/>
    <w:qFormat/>
    <w:locked/>
    <w:uiPriority w:val="99"/>
    <w:rPr>
      <w:color w:val="FF0000"/>
    </w:rPr>
  </w:style>
  <w:style w:type="character" w:customStyle="1" w:styleId="79">
    <w:name w:val="批注主题 Char"/>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出段落 Char"/>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5"/>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4"/>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2"/>
    <w:autoRedefine/>
    <w:qFormat/>
    <w:uiPriority w:val="0"/>
    <w:pPr>
      <w:spacing w:line="240" w:lineRule="auto"/>
    </w:pPr>
    <w:rPr>
      <w:rFonts w:ascii="黑体"/>
      <w:sz w:val="36"/>
      <w:szCs w:val="36"/>
    </w:rPr>
  </w:style>
  <w:style w:type="paragraph" w:customStyle="1" w:styleId="130">
    <w:name w:val="TOC 标题111"/>
    <w:basedOn w:val="2"/>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2"/>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2"/>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3"/>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46">
    <w:name w:val="标题 10"/>
    <w:basedOn w:val="3"/>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4"/>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3"/>
    <w:link w:val="156"/>
    <w:autoRedefine/>
    <w:qFormat/>
    <w:uiPriority w:val="0"/>
    <w:pPr>
      <w:tabs>
        <w:tab w:val="left" w:pos="1008"/>
      </w:tabs>
      <w:spacing w:line="360" w:lineRule="auto"/>
      <w:ind w:left="1008" w:hanging="1008"/>
      <w:outlineLvl w:val="4"/>
    </w:pPr>
    <w:rPr>
      <w:rFonts w:asci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3"/>
    <w:link w:val="160"/>
    <w:autoRedefine/>
    <w:qFormat/>
    <w:uiPriority w:val="0"/>
    <w:pPr>
      <w:tabs>
        <w:tab w:val="left" w:pos="756"/>
      </w:tabs>
      <w:spacing w:line="360" w:lineRule="auto"/>
      <w:ind w:left="756" w:hanging="576"/>
    </w:pPr>
    <w:rPr>
      <w:rFonts w:asci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3"/>
    <w:link w:val="169"/>
    <w:autoRedefine/>
    <w:qFormat/>
    <w:uiPriority w:val="0"/>
    <w:pPr>
      <w:tabs>
        <w:tab w:val="left" w:pos="864"/>
      </w:tabs>
      <w:spacing w:line="360" w:lineRule="auto"/>
      <w:ind w:left="864" w:hanging="864"/>
      <w:outlineLvl w:val="3"/>
    </w:pPr>
    <w:rPr>
      <w:rFonts w:asci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autoRedefine/>
    <w:qFormat/>
    <w:uiPriority w:val="99"/>
    <w:pPr>
      <w:spacing w:beforeLines="50" w:afterLines="50"/>
      <w:ind w:firstLine="200" w:firstLineChars="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autoRedefine/>
    <w:qFormat/>
    <w:uiPriority w:val="99"/>
    <w:pPr>
      <w:widowControl/>
      <w:spacing w:after="240" w:line="240" w:lineRule="exact"/>
      <w:jc w:val="center"/>
    </w:pPr>
    <w:rPr>
      <w:kern w:val="0"/>
      <w:sz w:val="24"/>
      <w:lang w:val="en-GB"/>
    </w:rPr>
  </w:style>
  <w:style w:type="paragraph" w:customStyle="1" w:styleId="201">
    <w:name w:val="样式3"/>
    <w:basedOn w:val="3"/>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6"/>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3"/>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2"/>
    <w:next w:val="21"/>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6"/>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5"/>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5"/>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6"/>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2"/>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4"/>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3"/>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3"/>
    <w:autoRedefine/>
    <w:qFormat/>
    <w:uiPriority w:val="0"/>
    <w:pPr>
      <w:keepLines w:val="0"/>
      <w:widowControl/>
      <w:tabs>
        <w:tab w:val="left" w:pos="992"/>
        <w:tab w:val="left" w:pos="1440"/>
      </w:tabs>
      <w:spacing w:before="240" w:after="240" w:line="240" w:lineRule="auto"/>
      <w:ind w:hanging="1440"/>
    </w:pPr>
    <w:rPr>
      <w:bCs w:val="0"/>
      <w:kern w:val="0"/>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2"/>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2"/>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BB24-06D8-4C86-8A94-C11FBA016960}">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1600</Words>
  <Characters>1750</Characters>
  <Lines>219</Lines>
  <Paragraphs>61</Paragraphs>
  <TotalTime>0</TotalTime>
  <ScaleCrop>false</ScaleCrop>
  <LinksUpToDate>false</LinksUpToDate>
  <CharactersWithSpaces>1757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2024-12-11T01:37:00Z</dcterms:created>
  <dc:creator>jscn</dc:creator>
  <cp:lastModifiedBy>氨基酸</cp:lastModifiedBy>
  <cp:lastPrinted>2017-04-10T13:36:00Z</cp:lastPrinted>
  <dcterms:modified xsi:type="dcterms:W3CDTF">2025-01-07T08:24:18Z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4C08407DC85D417AA3E3AD69AD789CCF_13</vt:lpwstr>
  </property>
  <property fmtid="{D5CDD505-2E9C-101B-9397-08002B2CF9AE}" pid="4" name="KSOTemplateDocerSaveRecord">
    <vt:lpwstr>eyJoZGlkIjoiNDZhOGFjZmY4ZmRkMTM2MWFiOGQ0NDM5NzgwMjc3M2UiLCJ1c2VySWQiOiI0NTA3NjkxOTYifQ==</vt:lpwstr>
  </property>
</Properties>
</file>