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EE194">
      <w:pPr>
        <w:spacing w:line="360" w:lineRule="auto"/>
        <w:rPr>
          <w:rFonts w:ascii="Times New Roman" w:hAnsi="Times New Roman" w:cs="Times New Roman"/>
          <w:sz w:val="36"/>
          <w:szCs w:val="36"/>
          <w:u w:val="single" w:color="000000"/>
          <w:lang w:val="zh-TW"/>
        </w:rPr>
      </w:pPr>
    </w:p>
    <w:p w14:paraId="406B6318">
      <w:pPr>
        <w:spacing w:line="360" w:lineRule="auto"/>
        <w:rPr>
          <w:rFonts w:ascii="Times New Roman" w:hAnsi="Times New Roman" w:eastAsia="PMingLiU" w:cs="Times New Roman"/>
          <w:sz w:val="36"/>
          <w:szCs w:val="36"/>
          <w:u w:val="single" w:color="000000"/>
          <w:lang w:val="zh-TW" w:eastAsia="zh-TW"/>
        </w:rPr>
      </w:pPr>
    </w:p>
    <w:p w14:paraId="39A5F0E0">
      <w:pPr>
        <w:spacing w:line="360" w:lineRule="auto"/>
        <w:rPr>
          <w:rFonts w:ascii="Times New Roman" w:hAnsi="Times New Roman" w:eastAsia="PMingLiU" w:cs="Times New Roman"/>
          <w:sz w:val="36"/>
          <w:szCs w:val="36"/>
          <w:u w:val="single" w:color="000000"/>
          <w:lang w:val="zh-TW" w:eastAsia="zh-TW"/>
        </w:rPr>
      </w:pPr>
    </w:p>
    <w:p w14:paraId="365486A7">
      <w:pPr>
        <w:spacing w:line="360" w:lineRule="auto"/>
        <w:jc w:val="center"/>
        <w:rPr>
          <w:rFonts w:ascii="Times New Roman" w:hAnsi="Times New Roman" w:eastAsia="黑体" w:cs="Times New Roman"/>
          <w:sz w:val="48"/>
          <w:szCs w:val="36"/>
          <w:lang w:val="zh-TW"/>
        </w:rPr>
      </w:pPr>
      <w:r>
        <w:rPr>
          <w:rFonts w:ascii="Times New Roman" w:hAnsi="Times New Roman" w:eastAsia="黑体" w:cs="Times New Roman"/>
          <w:sz w:val="48"/>
          <w:szCs w:val="36"/>
          <w:lang w:val="zh-TW"/>
        </w:rPr>
        <w:t>江苏省广电有线信息网络股份有限公司</w:t>
      </w:r>
    </w:p>
    <w:p w14:paraId="516FD0EE">
      <w:pPr>
        <w:spacing w:line="360" w:lineRule="auto"/>
        <w:jc w:val="center"/>
        <w:rPr>
          <w:rFonts w:ascii="Times New Roman" w:hAnsi="Times New Roman" w:eastAsia="黑体" w:cs="Times New Roman"/>
          <w:sz w:val="48"/>
          <w:szCs w:val="36"/>
          <w:lang w:val="zh-TW"/>
        </w:rPr>
      </w:pPr>
      <w:r>
        <w:rPr>
          <w:rFonts w:hint="eastAsia" w:ascii="Times New Roman" w:hAnsi="Times New Roman" w:eastAsia="黑体" w:cs="Times New Roman"/>
          <w:sz w:val="48"/>
          <w:szCs w:val="36"/>
          <w:lang w:val="zh-TW"/>
        </w:rPr>
        <w:t>统一代扣渠道</w:t>
      </w:r>
      <w:r>
        <w:rPr>
          <w:rFonts w:ascii="Times New Roman" w:hAnsi="Times New Roman" w:eastAsia="黑体" w:cs="Times New Roman"/>
          <w:sz w:val="48"/>
          <w:szCs w:val="36"/>
          <w:lang w:val="zh-TW"/>
        </w:rPr>
        <w:t>项目</w:t>
      </w:r>
    </w:p>
    <w:p w14:paraId="4C7106C9">
      <w:pPr>
        <w:spacing w:before="156" w:beforeLines="50" w:after="156" w:afterLines="50" w:line="360" w:lineRule="auto"/>
        <w:jc w:val="center"/>
        <w:rPr>
          <w:rFonts w:ascii="Times New Roman" w:hAnsi="Times New Roman" w:eastAsia="黑体" w:cs="Times New Roman"/>
          <w:sz w:val="40"/>
          <w:szCs w:val="36"/>
          <w:u w:color="000000"/>
        </w:rPr>
      </w:pPr>
      <w:r>
        <w:rPr>
          <w:rFonts w:hint="eastAsia" w:ascii="Times New Roman" w:hAnsi="Times New Roman" w:eastAsia="黑体" w:cs="Times New Roman"/>
          <w:sz w:val="40"/>
          <w:szCs w:val="36"/>
          <w:u w:color="000000"/>
        </w:rPr>
        <w:t>采购文件</w:t>
      </w:r>
      <w:r>
        <w:rPr>
          <w:rFonts w:ascii="Times New Roman" w:hAnsi="Times New Roman" w:eastAsia="黑体" w:cs="Times New Roman"/>
          <w:sz w:val="40"/>
          <w:szCs w:val="36"/>
          <w:u w:color="000000"/>
        </w:rPr>
        <w:t>编号：</w:t>
      </w:r>
      <w:r>
        <w:rPr>
          <w:rFonts w:hint="eastAsia" w:ascii="Times New Roman" w:hAnsi="Times New Roman" w:eastAsia="黑体" w:cs="Times New Roman"/>
          <w:sz w:val="40"/>
          <w:szCs w:val="36"/>
          <w:u w:color="000000"/>
        </w:rPr>
        <w:t>JSCN[2025]1782</w:t>
      </w:r>
    </w:p>
    <w:p w14:paraId="0FE8AB76">
      <w:pPr>
        <w:spacing w:line="360" w:lineRule="auto"/>
        <w:rPr>
          <w:rFonts w:ascii="Times New Roman" w:hAnsi="Times New Roman" w:eastAsia="黑体" w:cs="Times New Roman"/>
          <w:sz w:val="36"/>
          <w:szCs w:val="36"/>
          <w:u w:color="000000"/>
        </w:rPr>
      </w:pPr>
    </w:p>
    <w:p w14:paraId="650D30F3">
      <w:pPr>
        <w:spacing w:line="360" w:lineRule="auto"/>
        <w:jc w:val="center"/>
        <w:rPr>
          <w:rFonts w:ascii="Times New Roman" w:hAnsi="Times New Roman" w:eastAsia="黑体" w:cs="Times New Roman"/>
          <w:sz w:val="36"/>
          <w:szCs w:val="36"/>
          <w:u w:color="000000"/>
        </w:rPr>
      </w:pPr>
    </w:p>
    <w:p w14:paraId="4163DBC9">
      <w:pPr>
        <w:spacing w:line="360" w:lineRule="auto"/>
        <w:jc w:val="center"/>
        <w:rPr>
          <w:rFonts w:ascii="Times New Roman" w:hAnsi="Times New Roman" w:eastAsia="黑体" w:cs="Times New Roman"/>
          <w:sz w:val="36"/>
          <w:szCs w:val="36"/>
          <w:u w:color="000000"/>
        </w:rPr>
      </w:pPr>
    </w:p>
    <w:p w14:paraId="3F2C1BD6">
      <w:pPr>
        <w:spacing w:after="120"/>
        <w:jc w:val="center"/>
        <w:rPr>
          <w:rFonts w:ascii="Times New Roman" w:hAnsi="Times New Roman" w:eastAsia="黑体" w:cs="Times New Roman"/>
          <w:b/>
          <w:sz w:val="72"/>
          <w:szCs w:val="52"/>
          <w:u w:color="000000"/>
        </w:rPr>
      </w:pPr>
      <w:r>
        <w:rPr>
          <w:rFonts w:hint="eastAsia" w:ascii="Times New Roman" w:hAnsi="Times New Roman" w:eastAsia="黑体" w:cs="Times New Roman"/>
          <w:b/>
          <w:sz w:val="72"/>
          <w:szCs w:val="52"/>
          <w:u w:color="000000"/>
          <w:lang w:val="zh-TW"/>
        </w:rPr>
        <w:t>竞争性</w:t>
      </w:r>
      <w:r>
        <w:rPr>
          <w:rFonts w:hint="eastAsia" w:ascii="Times New Roman" w:hAnsi="Times New Roman" w:eastAsia="黑体" w:cs="Times New Roman"/>
          <w:b/>
          <w:sz w:val="72"/>
          <w:szCs w:val="52"/>
          <w:u w:color="000000"/>
        </w:rPr>
        <w:t>谈判</w:t>
      </w:r>
      <w:r>
        <w:rPr>
          <w:rFonts w:ascii="Times New Roman" w:hAnsi="Times New Roman" w:eastAsia="黑体" w:cs="Times New Roman"/>
          <w:b/>
          <w:sz w:val="72"/>
          <w:szCs w:val="52"/>
          <w:u w:color="000000"/>
          <w:lang w:val="zh-TW" w:eastAsia="zh-TW"/>
        </w:rPr>
        <w:t>文件</w:t>
      </w:r>
    </w:p>
    <w:p w14:paraId="6D2B6E0A">
      <w:pPr>
        <w:spacing w:line="360" w:lineRule="auto"/>
        <w:jc w:val="center"/>
        <w:rPr>
          <w:rFonts w:ascii="Times New Roman" w:hAnsi="Times New Roman" w:eastAsia="黑体" w:cs="Times New Roman"/>
          <w:b/>
          <w:bCs/>
          <w:sz w:val="28"/>
          <w:szCs w:val="28"/>
          <w:u w:color="000000"/>
        </w:rPr>
      </w:pPr>
    </w:p>
    <w:p w14:paraId="298BFA81">
      <w:pPr>
        <w:spacing w:line="360" w:lineRule="auto"/>
        <w:jc w:val="center"/>
        <w:rPr>
          <w:rFonts w:ascii="Times New Roman" w:hAnsi="Times New Roman" w:eastAsia="黑体" w:cs="Times New Roman"/>
          <w:b/>
          <w:bCs/>
          <w:sz w:val="28"/>
          <w:szCs w:val="28"/>
          <w:u w:color="000000"/>
        </w:rPr>
      </w:pPr>
    </w:p>
    <w:p w14:paraId="775F48CE">
      <w:pPr>
        <w:spacing w:line="360" w:lineRule="auto"/>
        <w:jc w:val="center"/>
        <w:rPr>
          <w:rFonts w:ascii="Times New Roman" w:hAnsi="Times New Roman" w:eastAsia="黑体" w:cs="Times New Roman"/>
          <w:b/>
          <w:bCs/>
          <w:sz w:val="28"/>
          <w:szCs w:val="28"/>
          <w:u w:color="000000"/>
        </w:rPr>
      </w:pPr>
    </w:p>
    <w:p w14:paraId="1D5FFA7F">
      <w:pPr>
        <w:spacing w:line="360" w:lineRule="auto"/>
        <w:jc w:val="center"/>
        <w:rPr>
          <w:rFonts w:ascii="Times New Roman" w:hAnsi="Times New Roman" w:eastAsia="黑体" w:cs="Times New Roman"/>
          <w:b/>
          <w:bCs/>
          <w:sz w:val="28"/>
          <w:szCs w:val="28"/>
          <w:u w:color="000000"/>
        </w:rPr>
      </w:pPr>
    </w:p>
    <w:p w14:paraId="0BAA694A">
      <w:pPr>
        <w:spacing w:line="360" w:lineRule="auto"/>
        <w:jc w:val="center"/>
        <w:rPr>
          <w:rFonts w:ascii="Times New Roman" w:hAnsi="Times New Roman" w:eastAsia="黑体" w:cs="Times New Roman"/>
          <w:b/>
          <w:bCs/>
          <w:sz w:val="28"/>
          <w:szCs w:val="28"/>
          <w:u w:color="000000"/>
        </w:rPr>
      </w:pPr>
    </w:p>
    <w:p w14:paraId="7769ACFC">
      <w:pPr>
        <w:spacing w:line="360" w:lineRule="auto"/>
        <w:jc w:val="center"/>
        <w:rPr>
          <w:rFonts w:ascii="Times New Roman" w:hAnsi="Times New Roman" w:eastAsia="黑体" w:cs="Times New Roman"/>
          <w:b/>
          <w:bCs/>
          <w:sz w:val="28"/>
          <w:szCs w:val="28"/>
          <w:u w:color="000000"/>
        </w:rPr>
      </w:pPr>
    </w:p>
    <w:p w14:paraId="111F144C">
      <w:pPr>
        <w:spacing w:line="360" w:lineRule="auto"/>
        <w:jc w:val="center"/>
        <w:rPr>
          <w:rFonts w:ascii="Times New Roman" w:hAnsi="Times New Roman" w:eastAsia="黑体" w:cs="Times New Roman"/>
          <w:sz w:val="36"/>
          <w:szCs w:val="28"/>
          <w:u w:color="000000"/>
          <w:lang w:val="zh-TW" w:eastAsia="zh-TW"/>
        </w:rPr>
      </w:pPr>
      <w:r>
        <w:rPr>
          <w:rFonts w:hint="eastAsia" w:ascii="Times New Roman" w:hAnsi="Times New Roman" w:eastAsia="黑体" w:cs="Times New Roman"/>
          <w:sz w:val="36"/>
          <w:szCs w:val="28"/>
          <w:u w:color="000000"/>
          <w:lang w:val="zh-TW" w:eastAsia="zh-TW"/>
        </w:rPr>
        <w:t>采购</w:t>
      </w:r>
      <w:r>
        <w:rPr>
          <w:rFonts w:ascii="Times New Roman" w:hAnsi="Times New Roman" w:eastAsia="黑体" w:cs="Times New Roman"/>
          <w:sz w:val="36"/>
          <w:szCs w:val="28"/>
          <w:u w:color="000000"/>
          <w:lang w:val="zh-TW" w:eastAsia="zh-TW"/>
        </w:rPr>
        <w:t>人：江苏省广电有线信息网络股份有限公司</w:t>
      </w:r>
    </w:p>
    <w:p w14:paraId="5C80E150">
      <w:pPr>
        <w:spacing w:line="360" w:lineRule="auto"/>
        <w:jc w:val="center"/>
        <w:rPr>
          <w:rFonts w:ascii="Times New Roman" w:hAnsi="Times New Roman" w:eastAsia="黑体" w:cs="Times New Roman"/>
          <w:sz w:val="36"/>
          <w:szCs w:val="28"/>
          <w:u w:color="000000"/>
        </w:rPr>
      </w:pPr>
      <w:r>
        <w:rPr>
          <w:rFonts w:ascii="Times New Roman" w:hAnsi="Times New Roman" w:eastAsia="黑体" w:cs="Times New Roman"/>
          <w:sz w:val="36"/>
          <w:szCs w:val="28"/>
          <w:u w:color="000000"/>
          <w:lang w:val="zh-TW" w:eastAsia="zh-TW"/>
        </w:rPr>
        <w:t>二O二</w:t>
      </w:r>
      <w:r>
        <w:rPr>
          <w:rFonts w:hint="eastAsia" w:ascii="Times New Roman" w:hAnsi="Times New Roman" w:eastAsia="黑体" w:cs="Times New Roman"/>
          <w:sz w:val="36"/>
          <w:szCs w:val="28"/>
          <w:u w:color="000000"/>
        </w:rPr>
        <w:t>五</w:t>
      </w:r>
      <w:r>
        <w:rPr>
          <w:rFonts w:ascii="Times New Roman" w:hAnsi="Times New Roman" w:eastAsia="黑体" w:cs="Times New Roman"/>
          <w:sz w:val="36"/>
          <w:szCs w:val="28"/>
          <w:u w:color="000000"/>
          <w:lang w:val="zh-TW" w:eastAsia="zh-TW"/>
        </w:rPr>
        <w:t>年</w:t>
      </w:r>
      <w:r>
        <w:rPr>
          <w:rFonts w:hint="eastAsia" w:ascii="Times New Roman" w:hAnsi="Times New Roman" w:eastAsia="黑体" w:cs="Times New Roman"/>
          <w:sz w:val="36"/>
          <w:szCs w:val="28"/>
          <w:u w:color="000000"/>
        </w:rPr>
        <w:t>三</w:t>
      </w:r>
      <w:r>
        <w:rPr>
          <w:rFonts w:ascii="Times New Roman" w:hAnsi="Times New Roman" w:eastAsia="黑体" w:cs="Times New Roman"/>
          <w:sz w:val="36"/>
          <w:szCs w:val="28"/>
          <w:u w:color="000000"/>
          <w:lang w:val="zh-TW" w:eastAsia="zh-TW"/>
        </w:rPr>
        <w:t>月</w:t>
      </w:r>
    </w:p>
    <w:p w14:paraId="385E6783">
      <w:pPr>
        <w:rPr>
          <w:rFonts w:ascii="Times New Roman" w:hAnsi="Times New Roman" w:cs="Times New Roman"/>
        </w:rPr>
      </w:pPr>
    </w:p>
    <w:p w14:paraId="20E7A42F">
      <w:pPr>
        <w:widowControl/>
        <w:jc w:val="left"/>
        <w:rPr>
          <w:rFonts w:ascii="Times New Roman" w:hAnsi="Times New Roman" w:cs="Times New Roman"/>
        </w:rPr>
        <w:sectPr>
          <w:pgSz w:w="11906" w:h="16838"/>
          <w:pgMar w:top="1418" w:right="1418" w:bottom="1418" w:left="1701" w:header="851" w:footer="992" w:gutter="0"/>
          <w:cols w:space="425" w:num="1"/>
          <w:docGrid w:type="lines" w:linePitch="312" w:charSpace="0"/>
        </w:sectPr>
      </w:pPr>
    </w:p>
    <w:p w14:paraId="36C89FE0">
      <w:pPr>
        <w:widowControl/>
        <w:spacing w:before="312" w:beforeLines="100" w:after="312" w:afterLines="100"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目  录</w:t>
      </w:r>
    </w:p>
    <w:sdt>
      <w:sdtPr>
        <w:rPr>
          <w:rFonts w:eastAsiaTheme="majorEastAsia"/>
          <w:sz w:val="32"/>
          <w:szCs w:val="32"/>
          <w:lang w:val="zh-CN"/>
        </w:rPr>
        <w:id w:val="-1199246136"/>
        <w:docPartObj>
          <w:docPartGallery w:val="Table of Contents"/>
          <w:docPartUnique/>
        </w:docPartObj>
      </w:sdtPr>
      <w:sdtEndPr>
        <w:rPr>
          <w:rFonts w:eastAsia="黑体"/>
          <w:b/>
          <w:bCs/>
          <w:sz w:val="24"/>
          <w:szCs w:val="22"/>
          <w:lang w:val="zh-CN"/>
        </w:rPr>
      </w:sdtEndPr>
      <w:sdtContent>
        <w:p w14:paraId="32ED8BA8">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TOC \o "1-3" \h \z \u </w:instrText>
          </w:r>
          <w:r>
            <w:fldChar w:fldCharType="separate"/>
          </w:r>
          <w:r>
            <w:fldChar w:fldCharType="begin"/>
          </w:r>
          <w:r>
            <w:instrText xml:space="preserve"> HYPERLINK \l "_Toc194067110" </w:instrText>
          </w:r>
          <w:r>
            <w:fldChar w:fldCharType="separate"/>
          </w:r>
          <w:r>
            <w:rPr>
              <w:rStyle w:val="30"/>
              <w:rFonts w:hint="eastAsia"/>
              <w:kern w:val="44"/>
              <w:lang w:val="zh-TW" w:eastAsia="zh-TW"/>
            </w:rPr>
            <w:t xml:space="preserve">第一章  </w:t>
          </w:r>
          <w:r>
            <w:rPr>
              <w:rStyle w:val="30"/>
              <w:rFonts w:hint="eastAsia"/>
              <w:kern w:val="44"/>
            </w:rPr>
            <w:t>竞争性谈判公告</w:t>
          </w:r>
          <w:r>
            <w:rPr>
              <w:rFonts w:hint="eastAsia"/>
            </w:rPr>
            <w:tab/>
          </w:r>
          <w:r>
            <w:rPr>
              <w:rFonts w:hint="eastAsia"/>
            </w:rPr>
            <w:fldChar w:fldCharType="begin"/>
          </w:r>
          <w:r>
            <w:rPr>
              <w:rFonts w:hint="eastAsia"/>
            </w:rPr>
            <w:instrText xml:space="preserve"> </w:instrText>
          </w:r>
          <w:r>
            <w:instrText xml:space="preserve">PAGEREF _Toc194067110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E1370BD">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"_Toc194067111" </w:instrText>
          </w:r>
          <w:r>
            <w:fldChar w:fldCharType="separate"/>
          </w:r>
          <w:r>
            <w:rPr>
              <w:rStyle w:val="30"/>
              <w:rFonts w:hint="eastAsia"/>
              <w:lang w:val="zh-TW" w:eastAsia="zh-TW"/>
            </w:rPr>
            <w:t>第二章  采购说明和要求</w:t>
          </w:r>
          <w:r>
            <w:rPr>
              <w:rFonts w:hint="eastAsia"/>
            </w:rPr>
            <w:tab/>
          </w:r>
          <w:r>
            <w:rPr>
              <w:rFonts w:hint="eastAsia"/>
            </w:rPr>
            <w:fldChar w:fldCharType="begin"/>
          </w:r>
          <w:r>
            <w:rPr>
              <w:rFonts w:hint="eastAsia"/>
            </w:rPr>
            <w:instrText xml:space="preserve"> </w:instrText>
          </w:r>
          <w:r>
            <w:instrText xml:space="preserve">PAGEREF _Toc194067111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AD8F228">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"_Toc194067112" </w:instrText>
          </w:r>
          <w:r>
            <w:fldChar w:fldCharType="separate"/>
          </w:r>
          <w:r>
            <w:rPr>
              <w:rStyle w:val="30"/>
              <w:rFonts w:hint="eastAsia"/>
              <w:kern w:val="44"/>
              <w:lang w:val="zh-TW" w:eastAsia="zh-TW"/>
            </w:rPr>
            <w:t>第</w:t>
          </w:r>
          <w:r>
            <w:rPr>
              <w:rStyle w:val="30"/>
              <w:rFonts w:hint="eastAsia"/>
              <w:kern w:val="44"/>
              <w:lang w:val="zh-TW"/>
            </w:rPr>
            <w:t>三</w:t>
          </w:r>
          <w:r>
            <w:rPr>
              <w:rStyle w:val="30"/>
              <w:rFonts w:hint="eastAsia"/>
              <w:kern w:val="44"/>
              <w:lang w:val="zh-TW" w:eastAsia="zh-TW"/>
            </w:rPr>
            <w:t xml:space="preserve">章  </w:t>
          </w:r>
          <w:r>
            <w:rPr>
              <w:rStyle w:val="30"/>
              <w:rFonts w:hint="eastAsia"/>
              <w:kern w:val="44"/>
              <w:lang w:val="zh-TW"/>
            </w:rPr>
            <w:t>评审办法</w:t>
          </w:r>
          <w:r>
            <w:rPr>
              <w:rFonts w:hint="eastAsia"/>
            </w:rPr>
            <w:tab/>
          </w:r>
          <w:r>
            <w:rPr>
              <w:rFonts w:hint="eastAsia"/>
            </w:rPr>
            <w:fldChar w:fldCharType="begin"/>
          </w:r>
          <w:r>
            <w:rPr>
              <w:rFonts w:hint="eastAsia"/>
            </w:rPr>
            <w:instrText xml:space="preserve"> </w:instrText>
          </w:r>
          <w:r>
            <w:instrText xml:space="preserve">PAGEREF _Toc194067112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5FCEA6CC">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"_Toc194067113" </w:instrText>
          </w:r>
          <w:r>
            <w:fldChar w:fldCharType="separate"/>
          </w:r>
          <w:r>
            <w:rPr>
              <w:rStyle w:val="30"/>
              <w:rFonts w:hint="eastAsia"/>
              <w:kern w:val="44"/>
              <w:lang w:val="zh-TW" w:eastAsia="zh-TW"/>
            </w:rPr>
            <w:t>第</w:t>
          </w:r>
          <w:r>
            <w:rPr>
              <w:rStyle w:val="30"/>
              <w:rFonts w:hint="eastAsia"/>
              <w:kern w:val="44"/>
              <w:lang w:val="zh-TW"/>
            </w:rPr>
            <w:t>四</w:t>
          </w:r>
          <w:r>
            <w:rPr>
              <w:rStyle w:val="30"/>
              <w:rFonts w:hint="eastAsia"/>
              <w:kern w:val="44"/>
              <w:lang w:val="zh-TW" w:eastAsia="zh-TW"/>
            </w:rPr>
            <w:t xml:space="preserve">章  </w:t>
          </w:r>
          <w:r>
            <w:rPr>
              <w:rStyle w:val="30"/>
              <w:rFonts w:hint="eastAsia"/>
              <w:kern w:val="44"/>
              <w:lang w:val="zh-TW"/>
            </w:rPr>
            <w:t>合同格式</w:t>
          </w:r>
          <w:r>
            <w:rPr>
              <w:rFonts w:hint="eastAsia"/>
            </w:rPr>
            <w:tab/>
          </w:r>
          <w:r>
            <w:rPr>
              <w:rFonts w:hint="eastAsia"/>
            </w:rPr>
            <w:fldChar w:fldCharType="begin"/>
          </w:r>
          <w:r>
            <w:rPr>
              <w:rFonts w:hint="eastAsia"/>
            </w:rPr>
            <w:instrText xml:space="preserve"> </w:instrText>
          </w:r>
          <w:r>
            <w:instrText xml:space="preserve">PAGEREF _Toc194067113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15E1B7C7">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"_Toc194067114" </w:instrText>
          </w:r>
          <w:r>
            <w:fldChar w:fldCharType="separate"/>
          </w:r>
          <w:r>
            <w:rPr>
              <w:rStyle w:val="30"/>
              <w:rFonts w:hint="eastAsia" w:ascii="仿宋_GB2312" w:hAnsi="宋体" w:eastAsia="仿宋_GB2312"/>
              <w:b/>
              <w:snapToGrid w:val="0"/>
            </w:rPr>
            <w:t>第一条  定义</w:t>
          </w:r>
          <w:r>
            <w:rPr>
              <w:rFonts w:hint="eastAsia"/>
            </w:rPr>
            <w:tab/>
          </w:r>
          <w:r>
            <w:rPr>
              <w:rFonts w:hint="eastAsia"/>
            </w:rPr>
            <w:fldChar w:fldCharType="begin"/>
          </w:r>
          <w:r>
            <w:rPr>
              <w:rFonts w:hint="eastAsia"/>
            </w:rPr>
            <w:instrText xml:space="preserve"> </w:instrText>
          </w:r>
          <w:r>
            <w:instrText xml:space="preserve">PAGEREF _Toc194067114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0F5414B4">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"_Toc194067115" </w:instrText>
          </w:r>
          <w:r>
            <w:fldChar w:fldCharType="separate"/>
          </w:r>
          <w:r>
            <w:rPr>
              <w:rStyle w:val="30"/>
              <w:rFonts w:hint="eastAsia" w:ascii="仿宋_GB2312" w:hAnsi="宋体" w:eastAsia="仿宋_GB2312"/>
              <w:b/>
              <w:snapToGrid w:val="0"/>
            </w:rPr>
            <w:t>第二条  合作内容</w:t>
          </w:r>
          <w:r>
            <w:rPr>
              <w:rFonts w:hint="eastAsia"/>
            </w:rPr>
            <w:tab/>
          </w:r>
          <w:r>
            <w:rPr>
              <w:rFonts w:hint="eastAsia"/>
            </w:rPr>
            <w:fldChar w:fldCharType="begin"/>
          </w:r>
          <w:r>
            <w:rPr>
              <w:rFonts w:hint="eastAsia"/>
            </w:rPr>
            <w:instrText xml:space="preserve"> </w:instrText>
          </w:r>
          <w:r>
            <w:instrText xml:space="preserve">PAGEREF _Toc194067115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7AAF4D7">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"_Toc194067116" </w:instrText>
          </w:r>
          <w:r>
            <w:fldChar w:fldCharType="separate"/>
          </w:r>
          <w:r>
            <w:rPr>
              <w:rStyle w:val="30"/>
              <w:rFonts w:hint="eastAsia" w:ascii="仿宋_GB2312" w:hAnsi="宋体" w:eastAsia="仿宋_GB2312"/>
              <w:b/>
              <w:snapToGrid w:val="0"/>
            </w:rPr>
            <w:t>第三条  甲方的权利与义务</w:t>
          </w:r>
          <w:r>
            <w:rPr>
              <w:rFonts w:hint="eastAsia"/>
            </w:rPr>
            <w:tab/>
          </w:r>
          <w:r>
            <w:rPr>
              <w:rFonts w:hint="eastAsia"/>
            </w:rPr>
            <w:fldChar w:fldCharType="begin"/>
          </w:r>
          <w:r>
            <w:rPr>
              <w:rFonts w:hint="eastAsia"/>
            </w:rPr>
            <w:instrText xml:space="preserve"> </w:instrText>
          </w:r>
          <w:r>
            <w:instrText xml:space="preserve">PAGEREF _Toc194067116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647F9F77">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"_Toc194067117" </w:instrText>
          </w:r>
          <w:r>
            <w:fldChar w:fldCharType="separate"/>
          </w:r>
          <w:r>
            <w:rPr>
              <w:rStyle w:val="30"/>
              <w:rFonts w:hint="eastAsia" w:ascii="仿宋_GB2312" w:hAnsi="宋体" w:eastAsia="仿宋_GB2312"/>
              <w:b/>
              <w:snapToGrid w:val="0"/>
            </w:rPr>
            <w:t>第四条  乙方的权利与义务</w:t>
          </w:r>
          <w:r>
            <w:rPr>
              <w:rFonts w:hint="eastAsia"/>
            </w:rPr>
            <w:tab/>
          </w:r>
          <w:r>
            <w:rPr>
              <w:rFonts w:hint="eastAsia"/>
            </w:rPr>
            <w:fldChar w:fldCharType="begin"/>
          </w:r>
          <w:r>
            <w:rPr>
              <w:rFonts w:hint="eastAsia"/>
            </w:rPr>
            <w:instrText xml:space="preserve"> </w:instrText>
          </w:r>
          <w:r>
            <w:instrText xml:space="preserve">PAGEREF _Toc194067117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0F157D63">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"_Toc194067118" </w:instrText>
          </w:r>
          <w:r>
            <w:fldChar w:fldCharType="separate"/>
          </w:r>
          <w:r>
            <w:rPr>
              <w:rStyle w:val="30"/>
              <w:rFonts w:hint="eastAsia" w:ascii="仿宋_GB2312" w:hAnsi="宋体" w:eastAsia="仿宋_GB2312"/>
              <w:b/>
              <w:snapToGrid w:val="0"/>
            </w:rPr>
            <w:t>第五条  保密条款</w:t>
          </w:r>
          <w:r>
            <w:rPr>
              <w:rFonts w:hint="eastAsia"/>
            </w:rPr>
            <w:tab/>
          </w:r>
          <w:r>
            <w:rPr>
              <w:rFonts w:hint="eastAsia"/>
            </w:rPr>
            <w:fldChar w:fldCharType="begin"/>
          </w:r>
          <w:r>
            <w:rPr>
              <w:rFonts w:hint="eastAsia"/>
            </w:rPr>
            <w:instrText xml:space="preserve"> </w:instrText>
          </w:r>
          <w:r>
            <w:instrText xml:space="preserve">PAGEREF _Toc194067118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4677FAAF">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"_Toc194067119" </w:instrText>
          </w:r>
          <w:r>
            <w:fldChar w:fldCharType="separate"/>
          </w:r>
          <w:r>
            <w:rPr>
              <w:rStyle w:val="30"/>
              <w:rFonts w:hint="eastAsia" w:ascii="仿宋_GB2312" w:hAnsi="宋体" w:eastAsia="仿宋_GB2312"/>
              <w:b/>
              <w:snapToGrid w:val="0"/>
            </w:rPr>
            <w:t>第六条  其他条款</w:t>
          </w:r>
          <w:r>
            <w:rPr>
              <w:rFonts w:hint="eastAsia"/>
            </w:rPr>
            <w:tab/>
          </w:r>
          <w:r>
            <w:rPr>
              <w:rFonts w:hint="eastAsia"/>
            </w:rPr>
            <w:fldChar w:fldCharType="begin"/>
          </w:r>
          <w:r>
            <w:rPr>
              <w:rFonts w:hint="eastAsia"/>
            </w:rPr>
            <w:instrText xml:space="preserve"> </w:instrText>
          </w:r>
          <w:r>
            <w:instrText xml:space="preserve">PAGEREF _Toc194067119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03D8DC80">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"_Toc194067120" </w:instrText>
          </w:r>
          <w:r>
            <w:fldChar w:fldCharType="separate"/>
          </w:r>
          <w:r>
            <w:rPr>
              <w:rStyle w:val="30"/>
              <w:rFonts w:hint="eastAsia" w:ascii="宋体" w:hAnsi="宋体"/>
              <w:b/>
            </w:rPr>
            <w:t xml:space="preserve">★ </w:t>
          </w:r>
          <w:r>
            <w:rPr>
              <w:rStyle w:val="30"/>
              <w:rFonts w:hint="eastAsia"/>
              <w:kern w:val="44"/>
              <w:lang w:val="zh-TW" w:eastAsia="zh-TW"/>
            </w:rPr>
            <w:t>第</w:t>
          </w:r>
          <w:r>
            <w:rPr>
              <w:rStyle w:val="30"/>
              <w:rFonts w:hint="eastAsia"/>
              <w:kern w:val="44"/>
              <w:lang w:val="zh-TW"/>
            </w:rPr>
            <w:t>五</w:t>
          </w:r>
          <w:r>
            <w:rPr>
              <w:rStyle w:val="30"/>
              <w:rFonts w:hint="eastAsia"/>
              <w:kern w:val="44"/>
              <w:lang w:val="zh-TW" w:eastAsia="zh-TW"/>
            </w:rPr>
            <w:t xml:space="preserve">章  </w:t>
          </w:r>
          <w:r>
            <w:rPr>
              <w:rStyle w:val="30"/>
              <w:rFonts w:hint="eastAsia"/>
              <w:kern w:val="44"/>
              <w:lang w:val="zh-TW"/>
            </w:rPr>
            <w:t>技术需求书</w:t>
          </w:r>
          <w:r>
            <w:rPr>
              <w:rFonts w:hint="eastAsia"/>
            </w:rPr>
            <w:tab/>
          </w:r>
          <w:r>
            <w:rPr>
              <w:rFonts w:hint="eastAsia"/>
            </w:rPr>
            <w:fldChar w:fldCharType="begin"/>
          </w:r>
          <w:r>
            <w:rPr>
              <w:rFonts w:hint="eastAsia"/>
            </w:rPr>
            <w:instrText xml:space="preserve"> </w:instrText>
          </w:r>
          <w:r>
            <w:instrText xml:space="preserve">PAGEREF _Toc194067120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318FD492">
          <w:pPr>
            <w:pStyle w:val="21"/>
            <w:tabs>
              <w:tab w:val="left" w:pos="880"/>
              <w:tab w:val="right" w:leader="dot" w:pos="8777"/>
            </w:tabs>
            <w:rPr>
              <w:rFonts w:hint="eastAsia" w:asciiTheme="minorHAnsi" w:hAnsiTheme="minorHAnsi" w:eastAsiaTheme="minorEastAsia" w:cstheme="minorBidi"/>
              <w:kern w:val="2"/>
              <w:szCs w:val="24"/>
              <w14:ligatures w14:val="standardContextual"/>
            </w:rPr>
          </w:pPr>
          <w:r>
            <w:fldChar w:fldCharType="begin"/>
          </w:r>
          <w:r>
            <w:instrText xml:space="preserve"> HYPERLINK \l "_Toc194067121" </w:instrText>
          </w:r>
          <w:r>
            <w:fldChar w:fldCharType="separate"/>
          </w:r>
          <w:r>
            <w:rPr>
              <w:rStyle w:val="30"/>
              <w:rFonts w:hint="eastAsia" w:ascii="宋体" w:hAnsi="宋体" w:cs="Arial"/>
            </w:rPr>
            <w:t>5.1</w:t>
          </w:r>
          <w:r>
            <w:rPr>
              <w:rFonts w:hint="eastAsia" w:asciiTheme="minorHAnsi" w:hAnsiTheme="minorHAnsi" w:eastAsiaTheme="minorEastAsia" w:cstheme="minorBidi"/>
              <w:kern w:val="2"/>
              <w:szCs w:val="24"/>
              <w14:ligatures w14:val="standardContextual"/>
            </w:rPr>
            <w:tab/>
          </w:r>
          <w:r>
            <w:rPr>
              <w:rStyle w:val="30"/>
              <w:rFonts w:hint="eastAsia" w:ascii="宋体" w:hAnsi="宋体" w:cs="Arial"/>
            </w:rPr>
            <w:t>项目背景目标及实施范围</w:t>
          </w:r>
          <w:r>
            <w:rPr>
              <w:rStyle w:val="30"/>
              <w:rFonts w:hint="eastAsia"/>
            </w:rPr>
            <w:t>：</w:t>
          </w:r>
          <w:r>
            <w:rPr>
              <w:rFonts w:hint="eastAsia"/>
            </w:rPr>
            <w:tab/>
          </w:r>
          <w:r>
            <w:rPr>
              <w:rFonts w:hint="eastAsia"/>
            </w:rPr>
            <w:fldChar w:fldCharType="begin"/>
          </w:r>
          <w:r>
            <w:rPr>
              <w:rFonts w:hint="eastAsia"/>
            </w:rPr>
            <w:instrText xml:space="preserve"> </w:instrText>
          </w:r>
          <w:r>
            <w:instrText xml:space="preserve">PAGEREF _Toc194067121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75DAB61C">
          <w:pPr>
            <w:pStyle w:val="13"/>
            <w:tabs>
              <w:tab w:val="left" w:pos="1320"/>
              <w:tab w:val="right" w:leader="dot" w:pos="8777"/>
            </w:tabs>
            <w:rPr>
              <w:rFonts w:hint="eastAsia" w:asciiTheme="minorHAnsi" w:hAnsiTheme="minorHAnsi" w:eastAsiaTheme="minorEastAsia" w:cstheme="minorBidi"/>
              <w:kern w:val="2"/>
              <w:szCs w:val="24"/>
              <w14:ligatures w14:val="standardContextual"/>
            </w:rPr>
          </w:pPr>
          <w:r>
            <w:fldChar w:fldCharType="begin"/>
          </w:r>
          <w:r>
            <w:instrText xml:space="preserve"> HYPERLINK \l "_Toc194067122" </w:instrText>
          </w:r>
          <w:r>
            <w:fldChar w:fldCharType="separate"/>
          </w:r>
          <w:r>
            <w:rPr>
              <w:rStyle w:val="30"/>
              <w:rFonts w:hint="eastAsia" w:asciiTheme="majorEastAsia" w:hAnsiTheme="majorEastAsia" w:eastAsiaTheme="majorEastAsia"/>
              <w:b/>
              <w:bCs/>
            </w:rPr>
            <w:t>5.1.1</w:t>
          </w:r>
          <w:r>
            <w:rPr>
              <w:rFonts w:hint="eastAsia" w:asciiTheme="minorHAnsi" w:hAnsiTheme="minorHAnsi" w:eastAsiaTheme="minorEastAsia" w:cstheme="minorBidi"/>
              <w:kern w:val="2"/>
              <w:szCs w:val="24"/>
              <w14:ligatures w14:val="standardContextual"/>
            </w:rPr>
            <w:tab/>
          </w:r>
          <w:r>
            <w:rPr>
              <w:rStyle w:val="30"/>
              <w:rFonts w:hint="eastAsia"/>
              <w:b/>
              <w:bCs/>
            </w:rPr>
            <w:t>项目背景</w:t>
          </w:r>
          <w:r>
            <w:rPr>
              <w:rFonts w:hint="eastAsia"/>
            </w:rPr>
            <w:tab/>
          </w:r>
          <w:r>
            <w:rPr>
              <w:rFonts w:hint="eastAsia"/>
            </w:rPr>
            <w:fldChar w:fldCharType="begin"/>
          </w:r>
          <w:r>
            <w:rPr>
              <w:rFonts w:hint="eastAsia"/>
            </w:rPr>
            <w:instrText xml:space="preserve"> </w:instrText>
          </w:r>
          <w:r>
            <w:instrText xml:space="preserve">PAGEREF _Toc194067122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62893E8A">
          <w:pPr>
            <w:pStyle w:val="13"/>
            <w:tabs>
              <w:tab w:val="left" w:pos="1320"/>
              <w:tab w:val="right" w:leader="dot" w:pos="8777"/>
            </w:tabs>
            <w:rPr>
              <w:rFonts w:hint="eastAsia" w:asciiTheme="minorHAnsi" w:hAnsiTheme="minorHAnsi" w:eastAsiaTheme="minorEastAsia" w:cstheme="minorBidi"/>
              <w:kern w:val="2"/>
              <w:szCs w:val="24"/>
              <w14:ligatures w14:val="standardContextual"/>
            </w:rPr>
          </w:pPr>
          <w:r>
            <w:fldChar w:fldCharType="begin"/>
          </w:r>
          <w:r>
            <w:instrText xml:space="preserve"> HYPERLINK \l "_Toc194067123" </w:instrText>
          </w:r>
          <w:r>
            <w:fldChar w:fldCharType="separate"/>
          </w:r>
          <w:r>
            <w:rPr>
              <w:rStyle w:val="30"/>
              <w:rFonts w:hint="eastAsia" w:asciiTheme="majorEastAsia" w:hAnsiTheme="majorEastAsia" w:eastAsiaTheme="majorEastAsia"/>
              <w:b/>
              <w:bCs/>
            </w:rPr>
            <w:t>5.1.2</w:t>
          </w:r>
          <w:r>
            <w:rPr>
              <w:rFonts w:hint="eastAsia" w:asciiTheme="minorHAnsi" w:hAnsiTheme="minorHAnsi" w:eastAsiaTheme="minorEastAsia" w:cstheme="minorBidi"/>
              <w:kern w:val="2"/>
              <w:szCs w:val="24"/>
              <w14:ligatures w14:val="standardContextual"/>
            </w:rPr>
            <w:tab/>
          </w:r>
          <w:r>
            <w:rPr>
              <w:rStyle w:val="30"/>
              <w:rFonts w:hint="eastAsia"/>
              <w:b/>
              <w:bCs/>
            </w:rPr>
            <w:t>项目目标</w:t>
          </w:r>
          <w:r>
            <w:rPr>
              <w:rFonts w:hint="eastAsia"/>
            </w:rPr>
            <w:tab/>
          </w:r>
          <w:r>
            <w:rPr>
              <w:rFonts w:hint="eastAsia"/>
            </w:rPr>
            <w:fldChar w:fldCharType="begin"/>
          </w:r>
          <w:r>
            <w:rPr>
              <w:rFonts w:hint="eastAsia"/>
            </w:rPr>
            <w:instrText xml:space="preserve"> </w:instrText>
          </w:r>
          <w:r>
            <w:instrText xml:space="preserve">PAGEREF _Toc194067123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46312367">
          <w:pPr>
            <w:pStyle w:val="13"/>
            <w:tabs>
              <w:tab w:val="left" w:pos="1320"/>
              <w:tab w:val="right" w:leader="dot" w:pos="8777"/>
            </w:tabs>
            <w:rPr>
              <w:rFonts w:hint="eastAsia" w:asciiTheme="minorHAnsi" w:hAnsiTheme="minorHAnsi" w:eastAsiaTheme="minorEastAsia" w:cstheme="minorBidi"/>
              <w:kern w:val="2"/>
              <w:szCs w:val="24"/>
              <w14:ligatures w14:val="standardContextual"/>
            </w:rPr>
          </w:pPr>
          <w:r>
            <w:fldChar w:fldCharType="begin"/>
          </w:r>
          <w:r>
            <w:instrText xml:space="preserve"> HYPERLINK \l "_Toc194067124" </w:instrText>
          </w:r>
          <w:r>
            <w:fldChar w:fldCharType="separate"/>
          </w:r>
          <w:r>
            <w:rPr>
              <w:rStyle w:val="30"/>
              <w:rFonts w:hint="eastAsia" w:asciiTheme="majorEastAsia" w:hAnsiTheme="majorEastAsia" w:eastAsiaTheme="majorEastAsia"/>
              <w:b/>
              <w:bCs/>
            </w:rPr>
            <w:t>5.1.3</w:t>
          </w:r>
          <w:r>
            <w:rPr>
              <w:rFonts w:hint="eastAsia" w:asciiTheme="minorHAnsi" w:hAnsiTheme="minorHAnsi" w:eastAsiaTheme="minorEastAsia" w:cstheme="minorBidi"/>
              <w:kern w:val="2"/>
              <w:szCs w:val="24"/>
              <w14:ligatures w14:val="standardContextual"/>
            </w:rPr>
            <w:tab/>
          </w:r>
          <w:r>
            <w:rPr>
              <w:rStyle w:val="30"/>
              <w:rFonts w:hint="eastAsia"/>
              <w:b/>
              <w:bCs/>
            </w:rPr>
            <w:t>实施范围</w:t>
          </w:r>
          <w:r>
            <w:rPr>
              <w:rFonts w:hint="eastAsia"/>
            </w:rPr>
            <w:tab/>
          </w:r>
          <w:r>
            <w:rPr>
              <w:rFonts w:hint="eastAsia"/>
            </w:rPr>
            <w:fldChar w:fldCharType="begin"/>
          </w:r>
          <w:r>
            <w:rPr>
              <w:rFonts w:hint="eastAsia"/>
            </w:rPr>
            <w:instrText xml:space="preserve"> </w:instrText>
          </w:r>
          <w:r>
            <w:instrText xml:space="preserve">PAGEREF _Toc194067124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6627F624">
          <w:pPr>
            <w:pStyle w:val="21"/>
            <w:tabs>
              <w:tab w:val="left" w:pos="880"/>
              <w:tab w:val="right" w:leader="dot" w:pos="8777"/>
            </w:tabs>
            <w:rPr>
              <w:rFonts w:hint="eastAsia" w:asciiTheme="minorHAnsi" w:hAnsiTheme="minorHAnsi" w:eastAsiaTheme="minorEastAsia" w:cstheme="minorBidi"/>
              <w:kern w:val="2"/>
              <w:szCs w:val="24"/>
              <w14:ligatures w14:val="standardContextual"/>
            </w:rPr>
          </w:pPr>
          <w:r>
            <w:fldChar w:fldCharType="begin"/>
          </w:r>
          <w:r>
            <w:instrText xml:space="preserve"> HYPERLINK \l "_Toc194067125" </w:instrText>
          </w:r>
          <w:r>
            <w:fldChar w:fldCharType="separate"/>
          </w:r>
          <w:r>
            <w:rPr>
              <w:rStyle w:val="30"/>
              <w:rFonts w:hint="eastAsia" w:ascii="宋体" w:hAnsi="宋体" w:cs="Arial"/>
            </w:rPr>
            <w:t>5.2</w:t>
          </w:r>
          <w:r>
            <w:rPr>
              <w:rFonts w:hint="eastAsia" w:asciiTheme="minorHAnsi" w:hAnsiTheme="minorHAnsi" w:eastAsiaTheme="minorEastAsia" w:cstheme="minorBidi"/>
              <w:kern w:val="2"/>
              <w:szCs w:val="24"/>
              <w14:ligatures w14:val="standardContextual"/>
            </w:rPr>
            <w:tab/>
          </w:r>
          <w:r>
            <w:rPr>
              <w:rStyle w:val="30"/>
              <w:rFonts w:hint="eastAsia" w:ascii="宋体" w:hAnsi="宋体" w:cs="Arial"/>
            </w:rPr>
            <w:t>统一代扣渠道应用功能及场景要求</w:t>
          </w:r>
          <w:r>
            <w:rPr>
              <w:rFonts w:hint="eastAsia"/>
            </w:rPr>
            <w:tab/>
          </w:r>
          <w:r>
            <w:rPr>
              <w:rFonts w:hint="eastAsia"/>
            </w:rPr>
            <w:fldChar w:fldCharType="begin"/>
          </w:r>
          <w:r>
            <w:rPr>
              <w:rFonts w:hint="eastAsia"/>
            </w:rPr>
            <w:instrText xml:space="preserve"> </w:instrText>
          </w:r>
          <w:r>
            <w:instrText xml:space="preserve">PAGEREF _Toc194067125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261AA71C">
          <w:pPr>
            <w:pStyle w:val="21"/>
            <w:tabs>
              <w:tab w:val="left" w:pos="880"/>
              <w:tab w:val="right" w:leader="dot" w:pos="8777"/>
            </w:tabs>
            <w:rPr>
              <w:rFonts w:hint="eastAsia" w:asciiTheme="minorHAnsi" w:hAnsiTheme="minorHAnsi" w:eastAsiaTheme="minorEastAsia" w:cstheme="minorBidi"/>
              <w:kern w:val="2"/>
              <w:szCs w:val="24"/>
              <w14:ligatures w14:val="standardContextual"/>
            </w:rPr>
          </w:pPr>
          <w:r>
            <w:fldChar w:fldCharType="begin"/>
          </w:r>
          <w:r>
            <w:instrText xml:space="preserve"> HYPERLINK \l "_Toc194067126" </w:instrText>
          </w:r>
          <w:r>
            <w:fldChar w:fldCharType="separate"/>
          </w:r>
          <w:r>
            <w:rPr>
              <w:rStyle w:val="30"/>
              <w:rFonts w:hint="eastAsia" w:ascii="宋体" w:hAnsi="宋体" w:cs="Arial"/>
            </w:rPr>
            <w:t>5.3</w:t>
          </w:r>
          <w:r>
            <w:rPr>
              <w:rFonts w:hint="eastAsia" w:asciiTheme="minorHAnsi" w:hAnsiTheme="minorHAnsi" w:eastAsiaTheme="minorEastAsia" w:cstheme="minorBidi"/>
              <w:kern w:val="2"/>
              <w:szCs w:val="24"/>
              <w14:ligatures w14:val="standardContextual"/>
            </w:rPr>
            <w:tab/>
          </w:r>
          <w:r>
            <w:rPr>
              <w:rStyle w:val="30"/>
              <w:rFonts w:hint="eastAsia" w:ascii="宋体" w:hAnsi="宋体" w:cs="Arial"/>
            </w:rPr>
            <w:t>供应商须承担的职责和义务</w:t>
          </w:r>
          <w:r>
            <w:rPr>
              <w:rFonts w:hint="eastAsia"/>
            </w:rPr>
            <w:tab/>
          </w:r>
          <w:r>
            <w:rPr>
              <w:rFonts w:hint="eastAsia"/>
            </w:rPr>
            <w:fldChar w:fldCharType="begin"/>
          </w:r>
          <w:r>
            <w:rPr>
              <w:rFonts w:hint="eastAsia"/>
            </w:rPr>
            <w:instrText xml:space="preserve"> </w:instrText>
          </w:r>
          <w:r>
            <w:instrText xml:space="preserve">PAGEREF _Toc194067126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6789A374">
          <w:pPr>
            <w:pStyle w:val="19"/>
            <w:rPr>
              <w:rFonts w:hint="eastAsia" w:asciiTheme="minorHAnsi" w:hAnsiTheme="minorHAnsi" w:eastAsiaTheme="minorEastAsia" w:cstheme="minorBidi"/>
              <w:kern w:val="2"/>
              <w:sz w:val="22"/>
              <w:szCs w:val="24"/>
              <w14:ligatures w14:val="standardContextual"/>
            </w:rPr>
          </w:pPr>
          <w:r>
            <w:fldChar w:fldCharType="begin"/>
          </w:r>
          <w:r>
            <w:instrText xml:space="preserve"> HYPERLINK \l "_Toc194067127" </w:instrText>
          </w:r>
          <w:r>
            <w:fldChar w:fldCharType="separate"/>
          </w:r>
          <w:r>
            <w:rPr>
              <w:rStyle w:val="30"/>
              <w:rFonts w:hint="eastAsia"/>
              <w:kern w:val="44"/>
              <w:lang w:val="zh-TW" w:eastAsia="zh-TW"/>
            </w:rPr>
            <w:t>第</w:t>
          </w:r>
          <w:r>
            <w:rPr>
              <w:rStyle w:val="30"/>
              <w:rFonts w:hint="eastAsia"/>
              <w:kern w:val="44"/>
              <w:lang w:val="zh-TW"/>
            </w:rPr>
            <w:t>六</w:t>
          </w:r>
          <w:r>
            <w:rPr>
              <w:rStyle w:val="30"/>
              <w:rFonts w:hint="eastAsia"/>
              <w:kern w:val="44"/>
              <w:lang w:val="zh-TW" w:eastAsia="zh-TW"/>
            </w:rPr>
            <w:t xml:space="preserve">章  </w:t>
          </w:r>
          <w:r>
            <w:rPr>
              <w:rStyle w:val="30"/>
              <w:rFonts w:hint="eastAsia"/>
              <w:kern w:val="44"/>
              <w:lang w:val="zh-TW"/>
            </w:rPr>
            <w:t>投标</w:t>
          </w:r>
          <w:r>
            <w:rPr>
              <w:rStyle w:val="30"/>
              <w:rFonts w:hint="eastAsia"/>
              <w:kern w:val="44"/>
              <w:lang w:val="zh-TW" w:eastAsia="zh-TW"/>
            </w:rPr>
            <w:t>文件格式</w:t>
          </w:r>
          <w:r>
            <w:rPr>
              <w:rFonts w:hint="eastAsia"/>
            </w:rPr>
            <w:tab/>
          </w:r>
          <w:r>
            <w:rPr>
              <w:rFonts w:hint="eastAsia"/>
            </w:rPr>
            <w:fldChar w:fldCharType="begin"/>
          </w:r>
          <w:r>
            <w:rPr>
              <w:rFonts w:hint="eastAsia"/>
            </w:rPr>
            <w:instrText xml:space="preserve"> </w:instrText>
          </w:r>
          <w:r>
            <w:instrText xml:space="preserve">PAGEREF _Toc194067127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5C1A9F8C">
          <w:pPr>
            <w:pStyle w:val="19"/>
          </w:pPr>
          <w:r>
            <w:fldChar w:fldCharType="end"/>
          </w:r>
        </w:p>
      </w:sdtContent>
    </w:sdt>
    <w:p w14:paraId="4929EE39">
      <w:pPr>
        <w:widowControl/>
        <w:jc w:val="left"/>
        <w:rPr>
          <w:rFonts w:ascii="Times New Roman" w:hAnsi="Times New Roman" w:cs="Times New Roman"/>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14:paraId="0AC94C5B">
      <w:pPr>
        <w:keepNext/>
        <w:keepLines/>
        <w:spacing w:before="312" w:beforeLines="100" w:after="312" w:afterLines="100" w:line="360" w:lineRule="auto"/>
        <w:jc w:val="center"/>
        <w:outlineLvl w:val="0"/>
        <w:rPr>
          <w:rFonts w:ascii="Times New Roman" w:hAnsi="Times New Roman" w:eastAsia="黑体" w:cs="Times New Roman"/>
          <w:kern w:val="44"/>
          <w:sz w:val="36"/>
          <w:szCs w:val="36"/>
          <w:u w:color="000000"/>
        </w:rPr>
      </w:pPr>
      <w:bookmarkStart w:id="0" w:name="_Toc"/>
      <w:bookmarkStart w:id="1" w:name="_Toc415494523"/>
      <w:bookmarkStart w:id="2" w:name="_Toc448069940"/>
      <w:bookmarkStart w:id="3" w:name="_Toc194067110"/>
      <w:r>
        <w:rPr>
          <w:rFonts w:ascii="Times New Roman" w:hAnsi="Times New Roman" w:eastAsia="黑体" w:cs="Times New Roman"/>
          <w:kern w:val="44"/>
          <w:sz w:val="36"/>
          <w:szCs w:val="36"/>
          <w:u w:color="000000"/>
          <w:lang w:val="zh-TW" w:eastAsia="zh-TW"/>
        </w:rPr>
        <w:t xml:space="preserve">第一章  </w:t>
      </w:r>
      <w:bookmarkEnd w:id="0"/>
      <w:bookmarkEnd w:id="1"/>
      <w:bookmarkEnd w:id="2"/>
      <w:r>
        <w:rPr>
          <w:rFonts w:hint="eastAsia" w:ascii="Times New Roman" w:hAnsi="Times New Roman" w:eastAsia="黑体" w:cs="Times New Roman"/>
          <w:kern w:val="44"/>
          <w:sz w:val="36"/>
          <w:szCs w:val="36"/>
          <w:u w:color="000000"/>
        </w:rPr>
        <w:t>竞争性谈判公告</w:t>
      </w:r>
      <w:bookmarkEnd w:id="3"/>
    </w:p>
    <w:p w14:paraId="564EA224">
      <w:pPr>
        <w:spacing w:line="360" w:lineRule="auto"/>
        <w:ind w:firstLine="640"/>
        <w:rPr>
          <w:rFonts w:ascii="Times New Roman" w:hAnsi="Times New Roman" w:cs="Times New Roman"/>
        </w:rPr>
      </w:pPr>
      <w:bookmarkStart w:id="4" w:name="_Toc415494524"/>
      <w:bookmarkStart w:id="5" w:name="_Toc1"/>
      <w:bookmarkStart w:id="6" w:name="_Toc448069941"/>
      <w:r>
        <w:rPr>
          <w:rFonts w:ascii="Times New Roman" w:hAnsi="Times New Roman" w:cs="Times New Roman"/>
          <w:kern w:val="0"/>
          <w:szCs w:val="21"/>
        </w:rPr>
        <w:t>江苏省广电有线信息网络股份有限公司就江苏省广电有线信息网络股份有限公司统一代扣渠道项目（采购文件编号：</w:t>
      </w:r>
      <w:r>
        <w:rPr>
          <w:rFonts w:ascii="Times New Roman" w:hAnsi="Times New Roman" w:cs="Times New Roman"/>
        </w:rPr>
        <w:t>JSCN[2025]1782</w:t>
      </w:r>
      <w:r>
        <w:rPr>
          <w:rFonts w:ascii="Times New Roman" w:hAnsi="Times New Roman" w:cs="Times New Roman"/>
          <w:kern w:val="0"/>
          <w:szCs w:val="21"/>
        </w:rPr>
        <w:t>）进行公开竞争性谈判，</w:t>
      </w:r>
      <w:bookmarkStart w:id="27" w:name="_GoBack"/>
      <w:bookmarkEnd w:id="27"/>
      <w:r>
        <w:rPr>
          <w:rFonts w:ascii="Times New Roman" w:hAnsi="Times New Roman" w:cs="Times New Roman"/>
          <w:kern w:val="0"/>
          <w:szCs w:val="21"/>
        </w:rPr>
        <w:t>项目已具备采购条件，现欢迎符合基本资格条件的供应商参加竞争性谈判</w:t>
      </w:r>
      <w:r>
        <w:rPr>
          <w:rFonts w:ascii="Times New Roman" w:hAnsi="Times New Roman" w:cs="Times New Roman"/>
        </w:rPr>
        <w:t>。</w:t>
      </w:r>
    </w:p>
    <w:p w14:paraId="21AF28CE">
      <w:pPr>
        <w:spacing w:line="360" w:lineRule="auto"/>
        <w:ind w:firstLine="643"/>
        <w:rPr>
          <w:rFonts w:ascii="Times New Roman" w:hAnsi="Times New Roman" w:cs="Times New Roman"/>
        </w:rPr>
      </w:pPr>
      <w:r>
        <w:rPr>
          <w:rFonts w:ascii="Times New Roman" w:hAnsi="Times New Roman" w:cs="Times New Roman"/>
          <w:b/>
          <w:bCs/>
        </w:rPr>
        <w:t>一、项目内容</w:t>
      </w:r>
    </w:p>
    <w:p w14:paraId="57BD25A0">
      <w:pPr>
        <w:spacing w:line="360" w:lineRule="auto"/>
        <w:ind w:firstLine="640"/>
        <w:rPr>
          <w:rFonts w:ascii="Times New Roman" w:hAnsi="Times New Roman" w:cs="Times New Roman"/>
        </w:rPr>
      </w:pPr>
      <w:r>
        <w:rPr>
          <w:rFonts w:ascii="Times New Roman" w:hAnsi="Times New Roman" w:cs="Times New Roman"/>
        </w:rPr>
        <w:t>1、项目名称：江苏省广电有线信息网络股份有限公司</w:t>
      </w:r>
      <w:r>
        <w:rPr>
          <w:rFonts w:hint="eastAsia" w:ascii="Times New Roman" w:hAnsi="Times New Roman" w:cs="Times New Roman"/>
        </w:rPr>
        <w:t>统一代扣渠道</w:t>
      </w:r>
      <w:r>
        <w:rPr>
          <w:rFonts w:ascii="Times New Roman" w:hAnsi="Times New Roman" w:cs="Times New Roman"/>
        </w:rPr>
        <w:t>项目项目</w:t>
      </w:r>
    </w:p>
    <w:p w14:paraId="0E594D36">
      <w:pPr>
        <w:spacing w:line="360" w:lineRule="auto"/>
        <w:ind w:firstLine="640"/>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项目</w:t>
      </w:r>
      <w:r>
        <w:rPr>
          <w:rFonts w:ascii="Times New Roman" w:hAnsi="Times New Roman" w:cs="Times New Roman"/>
        </w:rPr>
        <w:t>编号：JSCN[2025]1782</w:t>
      </w:r>
    </w:p>
    <w:p w14:paraId="12F3BB2E">
      <w:pPr>
        <w:spacing w:line="360" w:lineRule="auto"/>
        <w:ind w:firstLine="64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采购</w:t>
      </w:r>
      <w:r>
        <w:rPr>
          <w:rFonts w:ascii="Times New Roman" w:hAnsi="Times New Roman" w:cs="Times New Roman"/>
        </w:rPr>
        <w:t>内容（具体内容、数量、范围等）：为进一步改进提高全省业务缴费代扣比率，更好满足当下业务发展需要，改善用户服务体验，</w:t>
      </w:r>
      <w:r>
        <w:rPr>
          <w:rFonts w:hint="eastAsia" w:ascii="Times New Roman" w:hAnsi="Times New Roman" w:cs="Times New Roman"/>
        </w:rPr>
        <w:t>计划</w:t>
      </w:r>
      <w:r>
        <w:rPr>
          <w:rFonts w:ascii="Times New Roman" w:hAnsi="Times New Roman" w:cs="Times New Roman"/>
        </w:rPr>
        <w:t>建立全省统一代扣渠道，支持</w:t>
      </w:r>
      <w:r>
        <w:rPr>
          <w:rFonts w:hint="eastAsia" w:ascii="Times New Roman" w:hAnsi="Times New Roman" w:cs="Times New Roman"/>
        </w:rPr>
        <w:t>跨行代扣</w:t>
      </w:r>
      <w:r>
        <w:rPr>
          <w:rFonts w:ascii="Times New Roman" w:hAnsi="Times New Roman" w:cs="Times New Roman"/>
        </w:rPr>
        <w:t>，代扣资金统一结算到省公司账户，</w:t>
      </w:r>
      <w:r>
        <w:rPr>
          <w:rFonts w:hint="eastAsia" w:ascii="Times New Roman" w:hAnsi="Times New Roman" w:cs="Times New Roman"/>
        </w:rPr>
        <w:t>以</w:t>
      </w:r>
      <w:r>
        <w:rPr>
          <w:rFonts w:ascii="Times New Roman" w:hAnsi="Times New Roman" w:cs="Times New Roman"/>
        </w:rPr>
        <w:t>解决</w:t>
      </w:r>
      <w:r>
        <w:rPr>
          <w:rFonts w:hint="eastAsia" w:ascii="Times New Roman" w:hAnsi="Times New Roman" w:cs="Times New Roman"/>
        </w:rPr>
        <w:t>代扣银行分散带来的</w:t>
      </w:r>
      <w:r>
        <w:rPr>
          <w:rFonts w:ascii="Times New Roman" w:hAnsi="Times New Roman" w:cs="Times New Roman"/>
        </w:rPr>
        <w:t>银行</w:t>
      </w:r>
      <w:r>
        <w:rPr>
          <w:rFonts w:hint="eastAsia" w:ascii="Times New Roman" w:hAnsi="Times New Roman" w:cs="Times New Roman"/>
        </w:rPr>
        <w:t>繁杂，</w:t>
      </w:r>
      <w:r>
        <w:rPr>
          <w:rFonts w:ascii="Times New Roman" w:hAnsi="Times New Roman" w:cs="Times New Roman"/>
        </w:rPr>
        <w:t>接入难、</w:t>
      </w:r>
      <w:r>
        <w:rPr>
          <w:rFonts w:hint="eastAsia" w:ascii="Times New Roman" w:hAnsi="Times New Roman" w:cs="Times New Roman"/>
        </w:rPr>
        <w:t>流程繁琐的</w:t>
      </w:r>
      <w:r>
        <w:rPr>
          <w:rFonts w:ascii="Times New Roman" w:hAnsi="Times New Roman" w:cs="Times New Roman"/>
        </w:rPr>
        <w:t>问题。优化代扣签约解约流程</w:t>
      </w:r>
      <w:r>
        <w:rPr>
          <w:rFonts w:hint="eastAsia" w:ascii="Times New Roman" w:hAnsi="Times New Roman" w:cs="Times New Roman"/>
        </w:rPr>
        <w:t>，</w:t>
      </w:r>
      <w:r>
        <w:rPr>
          <w:rFonts w:ascii="Times New Roman" w:hAnsi="Times New Roman" w:cs="Times New Roman"/>
        </w:rPr>
        <w:t>在</w:t>
      </w:r>
      <w:r>
        <w:rPr>
          <w:rFonts w:hint="eastAsia" w:ascii="Times New Roman" w:hAnsi="Times New Roman" w:cs="Times New Roman"/>
        </w:rPr>
        <w:t>线上渠道</w:t>
      </w:r>
      <w:r>
        <w:rPr>
          <w:rFonts w:ascii="Times New Roman" w:hAnsi="Times New Roman" w:cs="Times New Roman"/>
        </w:rPr>
        <w:t>和</w:t>
      </w:r>
      <w:r>
        <w:rPr>
          <w:rFonts w:hint="eastAsia" w:ascii="Times New Roman" w:hAnsi="Times New Roman" w:cs="Times New Roman"/>
        </w:rPr>
        <w:t>BOSS系统</w:t>
      </w:r>
      <w:r>
        <w:rPr>
          <w:rFonts w:ascii="Times New Roman" w:hAnsi="Times New Roman" w:cs="Times New Roman"/>
        </w:rPr>
        <w:t>实现用户统一代扣签约解约功能，</w:t>
      </w:r>
      <w:r>
        <w:rPr>
          <w:rFonts w:hint="eastAsia" w:ascii="Times New Roman" w:hAnsi="Times New Roman" w:cs="Times New Roman"/>
        </w:rPr>
        <w:t>避免客户在营业厅和银行网点来回奔波，</w:t>
      </w:r>
      <w:r>
        <w:rPr>
          <w:rFonts w:ascii="Times New Roman" w:hAnsi="Times New Roman" w:cs="Times New Roman"/>
        </w:rPr>
        <w:t>解决用户签约难的痛点，提升用户体验。</w:t>
      </w:r>
    </w:p>
    <w:p w14:paraId="6778F161">
      <w:pPr>
        <w:spacing w:line="360" w:lineRule="auto"/>
        <w:ind w:firstLine="640"/>
        <w:rPr>
          <w:rFonts w:ascii="Times New Roman" w:hAnsi="Times New Roman" w:cs="Times New Roman"/>
        </w:rPr>
      </w:pPr>
      <w:r>
        <w:rPr>
          <w:rFonts w:ascii="Times New Roman" w:hAnsi="Times New Roman" w:cs="Times New Roman"/>
        </w:rPr>
        <w:t>4、交货期/项目实施周期：自订单下达之日起</w:t>
      </w:r>
      <w:r>
        <w:rPr>
          <w:rFonts w:hint="eastAsia" w:ascii="Times New Roman" w:hAnsi="Times New Roman" w:cs="Times New Roman"/>
        </w:rPr>
        <w:t>60</w:t>
      </w:r>
      <w:r>
        <w:rPr>
          <w:rFonts w:ascii="Times New Roman" w:hAnsi="Times New Roman" w:cs="Times New Roman"/>
        </w:rPr>
        <w:t>个</w:t>
      </w:r>
      <w:r>
        <w:rPr>
          <w:rFonts w:hint="eastAsia" w:ascii="Times New Roman" w:hAnsi="Times New Roman" w:cs="Times New Roman"/>
        </w:rPr>
        <w:t>工作日</w:t>
      </w:r>
      <w:r>
        <w:rPr>
          <w:rFonts w:ascii="Times New Roman" w:hAnsi="Times New Roman" w:cs="Times New Roman"/>
        </w:rPr>
        <w:t>内完成订单货物的供货/项目实施完成。</w:t>
      </w:r>
    </w:p>
    <w:p w14:paraId="25D1055C">
      <w:pPr>
        <w:spacing w:line="360" w:lineRule="auto"/>
        <w:ind w:firstLine="643"/>
        <w:rPr>
          <w:rFonts w:ascii="Times New Roman" w:hAnsi="Times New Roman" w:cs="Times New Roman"/>
        </w:rPr>
      </w:pPr>
      <w:r>
        <w:rPr>
          <w:rFonts w:ascii="Times New Roman" w:hAnsi="Times New Roman" w:cs="Times New Roman"/>
          <w:b/>
          <w:bCs/>
        </w:rPr>
        <w:t>二、基本资格要求</w:t>
      </w:r>
    </w:p>
    <w:p w14:paraId="5EC75C35">
      <w:pPr>
        <w:spacing w:line="360" w:lineRule="auto"/>
        <w:ind w:firstLine="643"/>
        <w:rPr>
          <w:rFonts w:ascii="Times New Roman" w:hAnsi="Times New Roman" w:cs="Times New Roman"/>
        </w:rPr>
      </w:pPr>
      <w:r>
        <w:rPr>
          <w:rFonts w:ascii="Times New Roman" w:hAnsi="Times New Roman" w:cs="Times New Roman"/>
          <w:b/>
          <w:bCs/>
        </w:rPr>
        <w:t>（一）</w:t>
      </w:r>
      <w:r>
        <w:rPr>
          <w:rFonts w:hint="eastAsia" w:ascii="Times New Roman" w:hAnsi="Times New Roman" w:cs="Times New Roman"/>
          <w:b/>
          <w:bCs/>
          <w:lang w:val="en-US" w:eastAsia="zh-CN"/>
        </w:rPr>
        <w:t>响应</w:t>
      </w:r>
      <w:r>
        <w:rPr>
          <w:rFonts w:ascii="Times New Roman" w:hAnsi="Times New Roman" w:cs="Times New Roman"/>
          <w:b/>
          <w:bCs/>
        </w:rPr>
        <w:t>人的资格要求：</w:t>
      </w:r>
    </w:p>
    <w:p w14:paraId="15686087">
      <w:pPr>
        <w:widowControl/>
        <w:adjustRightInd w:val="0"/>
        <w:spacing w:line="360" w:lineRule="auto"/>
        <w:ind w:firstLine="64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供应商</w:t>
      </w:r>
      <w:r>
        <w:rPr>
          <w:rFonts w:ascii="Times New Roman" w:hAnsi="Times New Roman" w:cs="Times New Roman"/>
        </w:rPr>
        <w:t>须为在中华人民共和国境内依法注册的独立法人或其它组织，遵守中国有关法律、法规，具有良好的商业信誉（提供营业执照复印件）。</w:t>
      </w:r>
    </w:p>
    <w:p w14:paraId="604BD1E4">
      <w:pPr>
        <w:widowControl/>
        <w:adjustRightInd w:val="0"/>
        <w:spacing w:line="360" w:lineRule="auto"/>
        <w:ind w:firstLine="64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供应商</w:t>
      </w:r>
      <w:r>
        <w:rPr>
          <w:rFonts w:ascii="Times New Roman" w:hAnsi="Times New Roman" w:cs="Times New Roman"/>
        </w:rPr>
        <w:t>须为在南京地区设有经营机构的银行类机构，并具备有效的国家金融监督管理总局（或其前身中国银行保险监督管理委员会）颁发的《金融许可证》（提供证书复印件）。</w:t>
      </w:r>
    </w:p>
    <w:p w14:paraId="57BFF02B">
      <w:pPr>
        <w:widowControl/>
        <w:adjustRightInd w:val="0"/>
        <w:spacing w:line="360" w:lineRule="auto"/>
        <w:ind w:firstLine="64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供应商</w:t>
      </w:r>
      <w:r>
        <w:rPr>
          <w:rFonts w:ascii="Times New Roman" w:hAnsi="Times New Roman" w:cs="Times New Roman"/>
        </w:rPr>
        <w:t>未处于被责令停业、投标资格被取消或者财产被接管、冻结和破产状态，企业没有因骗取中标或者严重违约以及发生重大违法违纪等问题，被有关部门暂停投标资格并在暂停期内。（提供承诺书）；</w:t>
      </w:r>
    </w:p>
    <w:p w14:paraId="796D8160">
      <w:pPr>
        <w:widowControl/>
        <w:adjustRightInd w:val="0"/>
        <w:spacing w:line="360" w:lineRule="auto"/>
        <w:ind w:firstLine="64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、本项目不接受联合体</w:t>
      </w:r>
      <w:r>
        <w:rPr>
          <w:rFonts w:hint="eastAsia" w:ascii="Times New Roman" w:hAnsi="Times New Roman" w:cs="Times New Roman"/>
        </w:rPr>
        <w:t>响应</w:t>
      </w:r>
      <w:r>
        <w:rPr>
          <w:rFonts w:ascii="Times New Roman" w:hAnsi="Times New Roman" w:cs="Times New Roman"/>
        </w:rPr>
        <w:t>及未经</w:t>
      </w:r>
      <w:r>
        <w:rPr>
          <w:rFonts w:hint="eastAsia" w:ascii="Times New Roman" w:hAnsi="Times New Roman" w:cs="Times New Roman"/>
        </w:rPr>
        <w:t>采购</w:t>
      </w:r>
      <w:r>
        <w:rPr>
          <w:rFonts w:ascii="Times New Roman" w:hAnsi="Times New Roman" w:cs="Times New Roman"/>
        </w:rPr>
        <w:t>人同意的任何形式的转包、分包（提供承诺书）。</w:t>
      </w:r>
    </w:p>
    <w:p w14:paraId="79094552">
      <w:pPr>
        <w:widowControl/>
        <w:adjustRightInd w:val="0"/>
        <w:spacing w:line="360" w:lineRule="auto"/>
        <w:ind w:firstLine="64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的单位负责人为同一人或者存在控股、管理关系的不同单位，不得参加同一标段</w:t>
      </w:r>
      <w:r>
        <w:rPr>
          <w:rFonts w:hint="eastAsia" w:ascii="Times New Roman" w:hAnsi="Times New Roman" w:cs="Times New Roman"/>
        </w:rPr>
        <w:t>响应</w:t>
      </w:r>
      <w:r>
        <w:rPr>
          <w:rFonts w:ascii="Times New Roman" w:hAnsi="Times New Roman" w:cs="Times New Roman"/>
        </w:rPr>
        <w:t>或者未划分标段的同一</w:t>
      </w:r>
      <w:r>
        <w:rPr>
          <w:rFonts w:hint="eastAsia" w:ascii="Times New Roman" w:hAnsi="Times New Roman" w:cs="Times New Roman"/>
        </w:rPr>
        <w:t>采购</w:t>
      </w:r>
      <w:r>
        <w:rPr>
          <w:rFonts w:ascii="Times New Roman" w:hAnsi="Times New Roman" w:cs="Times New Roman"/>
        </w:rPr>
        <w:t>项目</w:t>
      </w:r>
      <w:r>
        <w:rPr>
          <w:rFonts w:hint="eastAsia" w:ascii="Times New Roman" w:hAnsi="Times New Roman" w:cs="Times New Roman"/>
        </w:rPr>
        <w:t>响应</w:t>
      </w:r>
      <w:r>
        <w:rPr>
          <w:rFonts w:ascii="Times New Roman" w:hAnsi="Times New Roman" w:cs="Times New Roman"/>
        </w:rPr>
        <w:t>（提供承诺书）。</w:t>
      </w:r>
    </w:p>
    <w:p w14:paraId="73B547F5">
      <w:pPr>
        <w:widowControl/>
        <w:adjustRightInd w:val="0"/>
        <w:spacing w:line="360" w:lineRule="auto"/>
        <w:ind w:firstLine="64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、不接受国家法律法规所禁止的</w:t>
      </w:r>
      <w:r>
        <w:rPr>
          <w:rFonts w:hint="eastAsia" w:ascii="Times New Roman" w:hAnsi="Times New Roman" w:cs="Times New Roman"/>
        </w:rPr>
        <w:t>响应</w:t>
      </w:r>
      <w:r>
        <w:rPr>
          <w:rFonts w:ascii="Times New Roman" w:hAnsi="Times New Roman" w:cs="Times New Roman"/>
        </w:rPr>
        <w:t>行为。</w:t>
      </w:r>
    </w:p>
    <w:p w14:paraId="576F47D2">
      <w:pPr>
        <w:spacing w:line="360" w:lineRule="auto"/>
        <w:ind w:firstLine="643"/>
        <w:rPr>
          <w:rFonts w:ascii="Times New Roman" w:hAnsi="Times New Roman" w:cs="Times New Roman"/>
        </w:rPr>
      </w:pPr>
      <w:r>
        <w:rPr>
          <w:rFonts w:ascii="Times New Roman" w:hAnsi="Times New Roman" w:cs="Times New Roman"/>
          <w:b/>
          <w:bCs/>
        </w:rPr>
        <w:t>三、</w:t>
      </w:r>
      <w:r>
        <w:rPr>
          <w:rFonts w:hint="eastAsia" w:ascii="Times New Roman" w:hAnsi="Times New Roman" w:cs="Times New Roman"/>
          <w:b/>
          <w:bCs/>
        </w:rPr>
        <w:t>竞争性谈判文件的获取</w:t>
      </w:r>
    </w:p>
    <w:p w14:paraId="632320F3">
      <w:pPr>
        <w:spacing w:line="360" w:lineRule="auto"/>
        <w:ind w:firstLine="64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eastAsia="zh-CN"/>
        </w:rPr>
        <w:t>竞争性谈判文件</w:t>
      </w:r>
      <w:r>
        <w:rPr>
          <w:rFonts w:ascii="Times New Roman" w:hAnsi="Times New Roman" w:cs="Times New Roman"/>
        </w:rPr>
        <w:t>发售时间：</w:t>
      </w:r>
      <w:r>
        <w:rPr>
          <w:rFonts w:ascii="Times New Roman" w:hAnsi="Times New Roman" w:cs="Times New Roman"/>
          <w:b/>
          <w:bCs/>
          <w:u w:val="single"/>
        </w:rPr>
        <w:t>自202</w:t>
      </w:r>
      <w:r>
        <w:rPr>
          <w:rFonts w:hint="eastAsia" w:ascii="Times New Roman" w:hAnsi="Times New Roman" w:cs="Times New Roman"/>
          <w:b/>
          <w:bCs/>
          <w:u w:val="single"/>
        </w:rPr>
        <w:t>5</w:t>
      </w:r>
      <w:r>
        <w:rPr>
          <w:rFonts w:ascii="Times New Roman" w:hAnsi="Times New Roman" w:cs="Times New Roman"/>
          <w:b/>
          <w:bCs/>
          <w:u w:val="single"/>
        </w:rPr>
        <w:t>年</w:t>
      </w:r>
      <w:r>
        <w:rPr>
          <w:rFonts w:hint="eastAsia" w:ascii="Times New Roman" w:hAnsi="Times New Roman" w:cs="Times New Roman"/>
          <w:b/>
          <w:bCs/>
          <w:u w:val="single"/>
        </w:rPr>
        <w:t>3</w:t>
      </w:r>
      <w:r>
        <w:rPr>
          <w:rFonts w:ascii="Times New Roman" w:hAnsi="Times New Roman" w:cs="Times New Roman"/>
          <w:b/>
          <w:bCs/>
          <w:u w:val="single"/>
        </w:rPr>
        <w:t>月</w:t>
      </w:r>
      <w:r>
        <w:rPr>
          <w:rFonts w:hint="eastAsia" w:ascii="Times New Roman" w:hAnsi="Times New Roman" w:cs="Times New Roman"/>
          <w:b/>
          <w:bCs/>
          <w:u w:val="single"/>
          <w:lang w:val="en-US" w:eastAsia="zh-CN"/>
        </w:rPr>
        <w:t>31</w:t>
      </w:r>
      <w:r>
        <w:rPr>
          <w:rFonts w:ascii="Times New Roman" w:hAnsi="Times New Roman" w:cs="Times New Roman"/>
          <w:b/>
          <w:bCs/>
          <w:u w:val="single"/>
        </w:rPr>
        <w:t>日起至202</w:t>
      </w:r>
      <w:r>
        <w:rPr>
          <w:rFonts w:hint="eastAsia" w:ascii="Times New Roman" w:hAnsi="Times New Roman" w:cs="Times New Roman"/>
          <w:b/>
          <w:bCs/>
          <w:u w:val="single"/>
        </w:rPr>
        <w:t>5</w:t>
      </w:r>
      <w:r>
        <w:rPr>
          <w:rFonts w:ascii="Times New Roman" w:hAnsi="Times New Roman" w:cs="Times New Roman"/>
          <w:b/>
          <w:bCs/>
          <w:u w:val="single"/>
        </w:rPr>
        <w:t>年</w:t>
      </w:r>
      <w:r>
        <w:rPr>
          <w:rFonts w:hint="eastAsia" w:ascii="Times New Roman" w:hAnsi="Times New Roman" w:cs="Times New Roman"/>
          <w:b/>
          <w:bCs/>
          <w:u w:val="single"/>
        </w:rPr>
        <w:t>4</w:t>
      </w:r>
      <w:r>
        <w:rPr>
          <w:rFonts w:ascii="Times New Roman" w:hAnsi="Times New Roman" w:cs="Times New Roman"/>
          <w:b/>
          <w:bCs/>
          <w:u w:val="single"/>
        </w:rPr>
        <w:t>月</w:t>
      </w:r>
      <w:r>
        <w:rPr>
          <w:rFonts w:hint="eastAsia" w:ascii="Times New Roman" w:hAnsi="Times New Roman" w:cs="Times New Roman"/>
          <w:b/>
          <w:bCs/>
          <w:u w:val="single"/>
          <w:lang w:val="en-US" w:eastAsia="zh-CN"/>
        </w:rPr>
        <w:t>8</w:t>
      </w:r>
      <w:r>
        <w:rPr>
          <w:rFonts w:ascii="Times New Roman" w:hAnsi="Times New Roman" w:cs="Times New Roman"/>
          <w:b/>
          <w:bCs/>
          <w:u w:val="single"/>
        </w:rPr>
        <w:t>日止</w:t>
      </w:r>
      <w:r>
        <w:rPr>
          <w:rFonts w:ascii="Times New Roman" w:hAnsi="Times New Roman" w:cs="Times New Roman"/>
          <w:u w:val="single"/>
        </w:rPr>
        <w:t>的</w:t>
      </w:r>
      <w:r>
        <w:rPr>
          <w:rFonts w:ascii="Times New Roman" w:hAnsi="Times New Roman" w:cs="Times New Roman"/>
        </w:rPr>
        <w:t>正常工作时间，正常工作时间是指每天上午8时30分到11时30分，下午14时00分到17时30分，双休日和法定节假日不办理业务。</w:t>
      </w:r>
    </w:p>
    <w:p w14:paraId="55B3E610">
      <w:pPr>
        <w:spacing w:line="360" w:lineRule="auto"/>
        <w:ind w:firstLine="64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发放方式：竞争性谈判文件在报名后自行下载</w:t>
      </w:r>
      <w:r>
        <w:rPr>
          <w:rFonts w:ascii="Times New Roman" w:hAnsi="Times New Roman" w:cs="Times New Roman"/>
        </w:rPr>
        <w:t>。</w:t>
      </w:r>
    </w:p>
    <w:p w14:paraId="62C48101">
      <w:pPr>
        <w:spacing w:line="360" w:lineRule="auto"/>
        <w:ind w:firstLine="64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登记方式：请响应人将该项目负责人姓名、联系电话（手机）、联系信箱发至采购人该项目联系人，同时附营业执照扫面件和法定代表人授权委托函，发至邮箱zhangshaochen@jscnnet.com，未在文件发放日内完成登记的不得参与本项目，超过2025年4月</w:t>
      </w:r>
      <w:r>
        <w:rPr>
          <w:rFonts w:hint="eastAsia" w:ascii="Times New Roman" w:hAnsi="Times New Roman" w:cs="Times New Roman"/>
          <w:lang w:val="en-US" w:eastAsia="zh-CN"/>
        </w:rPr>
        <w:t>8</w:t>
      </w:r>
      <w:r>
        <w:rPr>
          <w:rFonts w:hint="eastAsia" w:ascii="Times New Roman" w:hAnsi="Times New Roman" w:cs="Times New Roman"/>
        </w:rPr>
        <w:t>日下午17:00再登记的视为无效。</w:t>
      </w:r>
    </w:p>
    <w:p w14:paraId="3F75B5F9">
      <w:pPr>
        <w:spacing w:line="360" w:lineRule="auto"/>
        <w:ind w:firstLine="640"/>
        <w:rPr>
          <w:rFonts w:ascii="Times New Roman" w:hAnsi="Times New Roman" w:cs="Times New Roman"/>
        </w:rPr>
      </w:pPr>
      <w:r>
        <w:rPr>
          <w:rFonts w:hint="eastAsia" w:ascii="Times New Roman" w:hAnsi="Times New Roman" w:cs="Times New Roman"/>
        </w:rPr>
        <w:t>4、项目联系人：张少辰（025-86731446）</w:t>
      </w:r>
    </w:p>
    <w:p w14:paraId="6A22AC3F">
      <w:pPr>
        <w:spacing w:line="360" w:lineRule="auto"/>
        <w:ind w:firstLine="643"/>
        <w:rPr>
          <w:rFonts w:ascii="Times New Roman" w:hAnsi="Times New Roman" w:cs="Times New Roman"/>
        </w:rPr>
      </w:pPr>
      <w:r>
        <w:rPr>
          <w:rFonts w:ascii="Times New Roman" w:hAnsi="Times New Roman" w:cs="Times New Roman"/>
          <w:b/>
          <w:bCs/>
        </w:rPr>
        <w:t>四、</w:t>
      </w:r>
      <w:r>
        <w:rPr>
          <w:rFonts w:hint="eastAsia" w:ascii="Times New Roman" w:hAnsi="Times New Roman" w:cs="Times New Roman"/>
          <w:b/>
          <w:bCs/>
        </w:rPr>
        <w:t>响应文件的递交和谈判</w:t>
      </w:r>
    </w:p>
    <w:p w14:paraId="5CE837FC">
      <w:pPr>
        <w:spacing w:line="360" w:lineRule="auto"/>
        <w:ind w:firstLine="640"/>
        <w:rPr>
          <w:rFonts w:ascii="Times New Roman" w:hAnsi="Times New Roman" w:cs="Times New Roman"/>
        </w:rPr>
      </w:pPr>
      <w:r>
        <w:rPr>
          <w:rFonts w:hint="eastAsia" w:ascii="Times New Roman" w:hAnsi="Times New Roman" w:cs="Times New Roman"/>
        </w:rPr>
        <w:t>递交竞争性谈判响应文件截止时间：2025年4月11日14:00，逾期收到或不按照竞争性谈判文件要求密封的响应文件恕不接受。</w:t>
      </w:r>
    </w:p>
    <w:p w14:paraId="53B8AD71">
      <w:pPr>
        <w:spacing w:line="360" w:lineRule="auto"/>
        <w:ind w:firstLine="640"/>
        <w:rPr>
          <w:rFonts w:ascii="Times New Roman" w:hAnsi="Times New Roman" w:cs="Times New Roman"/>
        </w:rPr>
      </w:pPr>
      <w:r>
        <w:rPr>
          <w:rFonts w:hint="eastAsia" w:ascii="Times New Roman" w:hAnsi="Times New Roman" w:cs="Times New Roman"/>
        </w:rPr>
        <w:t>递交竞争性谈判响应文件地点：南京市玄武区运粮河西路101号2号楼2楼。</w:t>
      </w:r>
    </w:p>
    <w:p w14:paraId="6EE29B4B">
      <w:pPr>
        <w:spacing w:line="360" w:lineRule="auto"/>
        <w:ind w:firstLine="640"/>
        <w:rPr>
          <w:rFonts w:ascii="Times New Roman" w:hAnsi="Times New Roman" w:cs="Times New Roman"/>
        </w:rPr>
      </w:pPr>
      <w:r>
        <w:rPr>
          <w:rFonts w:hint="eastAsia" w:ascii="Times New Roman" w:hAnsi="Times New Roman" w:cs="Times New Roman"/>
        </w:rPr>
        <w:t>响应文件接收人：张少辰（025-86731446）。</w:t>
      </w:r>
    </w:p>
    <w:p w14:paraId="066C84E2">
      <w:pPr>
        <w:spacing w:line="360" w:lineRule="auto"/>
        <w:ind w:firstLine="640"/>
        <w:rPr>
          <w:rFonts w:ascii="Times New Roman" w:hAnsi="Times New Roman" w:cs="Times New Roman"/>
        </w:rPr>
      </w:pPr>
      <w:r>
        <w:rPr>
          <w:rFonts w:hint="eastAsia" w:ascii="Times New Roman" w:hAnsi="Times New Roman" w:cs="Times New Roman"/>
        </w:rPr>
        <w:t>竞争性谈判时间：2025年4月11日14:30。</w:t>
      </w:r>
    </w:p>
    <w:p w14:paraId="0C3296AA">
      <w:pPr>
        <w:spacing w:line="360" w:lineRule="auto"/>
        <w:ind w:firstLine="640"/>
        <w:rPr>
          <w:rFonts w:ascii="Times New Roman" w:hAnsi="Times New Roman" w:cs="Times New Roman"/>
        </w:rPr>
      </w:pPr>
      <w:r>
        <w:rPr>
          <w:rFonts w:hint="eastAsia" w:ascii="Times New Roman" w:hAnsi="Times New Roman" w:cs="Times New Roman"/>
        </w:rPr>
        <w:t>竞争性谈判地点：南京市玄武区运粮河西路101号2号楼5楼会议室。</w:t>
      </w:r>
    </w:p>
    <w:p w14:paraId="7441F2EF">
      <w:pPr>
        <w:spacing w:line="360" w:lineRule="auto"/>
        <w:ind w:firstLine="643"/>
        <w:rPr>
          <w:rFonts w:ascii="Times New Roman" w:hAnsi="Times New Roman" w:cs="Times New Roman"/>
        </w:rPr>
      </w:pPr>
      <w:r>
        <w:rPr>
          <w:rFonts w:ascii="Times New Roman" w:hAnsi="Times New Roman" w:cs="Times New Roman"/>
          <w:b/>
          <w:bCs/>
        </w:rPr>
        <w:t>五、发布公告的媒介及免责声明</w:t>
      </w:r>
    </w:p>
    <w:p w14:paraId="2111B2B6">
      <w:pPr>
        <w:spacing w:line="360" w:lineRule="auto"/>
        <w:ind w:firstLine="640"/>
        <w:rPr>
          <w:rFonts w:ascii="Times New Roman" w:hAnsi="Times New Roman" w:cs="Times New Roman"/>
        </w:rPr>
      </w:pPr>
      <w:r>
        <w:rPr>
          <w:rFonts w:ascii="Times New Roman" w:hAnsi="Times New Roman" w:cs="Times New Roman"/>
        </w:rPr>
        <w:t>本</w:t>
      </w:r>
      <w:r>
        <w:rPr>
          <w:rFonts w:hint="eastAsia" w:ascii="Times New Roman" w:hAnsi="Times New Roman" w:cs="Times New Roman"/>
          <w:lang w:eastAsia="zh-CN"/>
        </w:rPr>
        <w:t>竞争性谈判公告</w:t>
      </w:r>
      <w:r>
        <w:rPr>
          <w:rFonts w:ascii="Times New Roman" w:hAnsi="Times New Roman" w:cs="Times New Roman"/>
        </w:rPr>
        <w:t>同时在江苏省广电有线信息网络股份有限公司官网（www.jscnnet.com）“招标采购”栏目及中国招标投标公共服务平台（http://www.cebpubservice.com/）上发布，其他媒介转载无效。</w:t>
      </w:r>
    </w:p>
    <w:p w14:paraId="0FB1B81E">
      <w:pPr>
        <w:spacing w:line="360" w:lineRule="auto"/>
        <w:ind w:firstLine="643"/>
        <w:rPr>
          <w:rFonts w:ascii="Times New Roman" w:hAnsi="Times New Roman" w:cs="Times New Roman"/>
        </w:rPr>
      </w:pPr>
      <w:r>
        <w:rPr>
          <w:rFonts w:ascii="Times New Roman" w:hAnsi="Times New Roman" w:cs="Times New Roman"/>
          <w:b/>
          <w:bCs/>
        </w:rPr>
        <w:t>六、其他说明事项</w:t>
      </w:r>
    </w:p>
    <w:p w14:paraId="2FF0FE16">
      <w:pPr>
        <w:spacing w:line="360" w:lineRule="auto"/>
        <w:ind w:firstLine="640"/>
        <w:rPr>
          <w:rFonts w:ascii="Times New Roman" w:hAnsi="Times New Roman" w:cs="Times New Roman"/>
        </w:rPr>
      </w:pPr>
      <w:r>
        <w:rPr>
          <w:rFonts w:ascii="Times New Roman" w:hAnsi="Times New Roman" w:cs="Times New Roman"/>
        </w:rPr>
        <w:t>1、有关</w:t>
      </w:r>
      <w:r>
        <w:rPr>
          <w:rFonts w:hint="eastAsia" w:ascii="Times New Roman" w:hAnsi="Times New Roman" w:cs="Times New Roman"/>
          <w:lang w:val="en-US" w:eastAsia="zh-CN"/>
        </w:rPr>
        <w:t>采购</w:t>
      </w:r>
      <w:r>
        <w:rPr>
          <w:rFonts w:ascii="Times New Roman" w:hAnsi="Times New Roman" w:cs="Times New Roman"/>
        </w:rPr>
        <w:t>的事项若存在变动或修改，敬请及时关注网上发布的信息更正公告。</w:t>
      </w:r>
    </w:p>
    <w:p w14:paraId="32C34EDA">
      <w:pPr>
        <w:spacing w:line="360" w:lineRule="auto"/>
        <w:ind w:firstLine="643"/>
        <w:rPr>
          <w:rFonts w:ascii="Times New Roman" w:hAnsi="Times New Roman" w:cs="Times New Roman"/>
          <w:b/>
          <w:bCs/>
        </w:rPr>
      </w:pPr>
    </w:p>
    <w:p w14:paraId="7C406E8E">
      <w:pPr>
        <w:spacing w:line="360" w:lineRule="auto"/>
        <w:ind w:firstLine="643"/>
        <w:jc w:val="right"/>
        <w:rPr>
          <w:rFonts w:ascii="Times New Roman" w:hAnsi="Times New Roman" w:cs="Times New Roman"/>
        </w:rPr>
      </w:pPr>
      <w:r>
        <w:rPr>
          <w:rFonts w:hint="eastAsia" w:ascii="Times New Roman" w:hAnsi="Times New Roman" w:cs="Times New Roman"/>
          <w:b/>
          <w:bCs/>
          <w:lang w:val="en-US" w:eastAsia="zh-CN"/>
        </w:rPr>
        <w:t>采购</w:t>
      </w:r>
      <w:r>
        <w:rPr>
          <w:rFonts w:ascii="Times New Roman" w:hAnsi="Times New Roman" w:cs="Times New Roman"/>
          <w:b/>
          <w:bCs/>
        </w:rPr>
        <w:t>人</w:t>
      </w:r>
      <w:r>
        <w:rPr>
          <w:rFonts w:ascii="Times New Roman" w:hAnsi="Times New Roman" w:cs="Times New Roman"/>
        </w:rPr>
        <w:t>：</w:t>
      </w:r>
      <w:r>
        <w:rPr>
          <w:rFonts w:hint="eastAsia" w:ascii="Times New Roman" w:hAnsi="Times New Roman" w:cs="Times New Roman"/>
          <w:u w:val="single"/>
        </w:rPr>
        <w:t>江苏省广电有线信息网络股份有限</w:t>
      </w:r>
      <w:r>
        <w:rPr>
          <w:rFonts w:ascii="Times New Roman" w:hAnsi="Times New Roman" w:cs="Times New Roman"/>
          <w:u w:val="single"/>
        </w:rPr>
        <w:t>公司</w:t>
      </w:r>
    </w:p>
    <w:p w14:paraId="4EDE3339">
      <w:pPr>
        <w:spacing w:line="360" w:lineRule="auto"/>
        <w:ind w:firstLine="640"/>
        <w:jc w:val="right"/>
        <w:rPr>
          <w:rFonts w:ascii="Times New Roman" w:hAnsi="Times New Roman" w:cs="Times New Roman"/>
        </w:rPr>
      </w:pPr>
      <w:r>
        <w:rPr>
          <w:rFonts w:ascii="Times New Roman" w:hAnsi="Times New Roman" w:cs="Times New Roman"/>
          <w:u w:val="single"/>
        </w:rPr>
        <w:t>202</w:t>
      </w:r>
      <w:r>
        <w:rPr>
          <w:rFonts w:hint="eastAsia" w:ascii="Times New Roman" w:hAnsi="Times New Roman" w:cs="Times New Roman"/>
          <w:u w:val="single"/>
        </w:rPr>
        <w:t>5</w:t>
      </w:r>
      <w:r>
        <w:rPr>
          <w:rFonts w:ascii="Times New Roman" w:hAnsi="Times New Roman" w:cs="Times New Roman"/>
        </w:rPr>
        <w:t>年</w:t>
      </w:r>
      <w:r>
        <w:rPr>
          <w:rFonts w:hint="eastAsia" w:ascii="Times New Roman" w:hAnsi="Times New Roman" w:cs="Times New Roman"/>
          <w:u w:val="single"/>
        </w:rPr>
        <w:t>3</w:t>
      </w:r>
      <w:r>
        <w:rPr>
          <w:rFonts w:ascii="Times New Roman" w:hAnsi="Times New Roman" w:cs="Times New Roman"/>
        </w:rPr>
        <w:t>月</w:t>
      </w:r>
      <w:r>
        <w:rPr>
          <w:rFonts w:hint="eastAsia" w:ascii="Times New Roman" w:hAnsi="Times New Roman" w:cs="Times New Roman"/>
          <w:u w:val="single"/>
          <w:lang w:val="en-US" w:eastAsia="zh-CN"/>
        </w:rPr>
        <w:t>31</w:t>
      </w:r>
      <w:r>
        <w:rPr>
          <w:rFonts w:ascii="Times New Roman" w:hAnsi="Times New Roman" w:cs="Times New Roman"/>
        </w:rPr>
        <w:t>日</w:t>
      </w:r>
    </w:p>
    <w:p w14:paraId="70706625">
      <w:pPr>
        <w:autoSpaceDE w:val="0"/>
        <w:autoSpaceDN w:val="0"/>
        <w:adjustRightInd w:val="0"/>
        <w:spacing w:line="360" w:lineRule="auto"/>
        <w:jc w:val="right"/>
        <w:rPr>
          <w:rFonts w:ascii="Times New Roman" w:hAnsi="Times New Roman" w:cs="Times New Roman"/>
        </w:rPr>
      </w:pPr>
    </w:p>
    <w:p w14:paraId="7904A8F2">
      <w:pPr>
        <w:widowControl/>
        <w:spacing w:line="360" w:lineRule="auto"/>
        <w:ind w:right="720"/>
        <w:rPr>
          <w:rFonts w:ascii="Times New Roman" w:hAnsi="Times New Roman" w:eastAsia="黑体" w:cs="Times New Roman"/>
          <w:kern w:val="44"/>
          <w:sz w:val="36"/>
          <w:szCs w:val="36"/>
          <w:u w:color="000000"/>
          <w:lang w:val="zh-TW" w:eastAsia="zh-TW"/>
        </w:rPr>
      </w:pPr>
      <w:r>
        <w:rPr>
          <w:rFonts w:ascii="Times New Roman" w:hAnsi="Times New Roman" w:eastAsia="黑体" w:cs="Times New Roman"/>
          <w:kern w:val="44"/>
          <w:sz w:val="36"/>
          <w:szCs w:val="36"/>
          <w:u w:color="000000"/>
          <w:lang w:val="zh-TW" w:eastAsia="zh-TW"/>
        </w:rPr>
        <w:br w:type="page"/>
      </w:r>
    </w:p>
    <w:p w14:paraId="0442CDED">
      <w:pPr>
        <w:pStyle w:val="2"/>
        <w:adjustRightInd w:val="0"/>
        <w:snapToGrid w:val="0"/>
        <w:spacing w:before="0" w:after="0" w:line="400" w:lineRule="exact"/>
        <w:rPr>
          <w:rFonts w:ascii="Times New Roman" w:hAnsi="Times New Roman" w:eastAsia="黑体" w:cs="Times New Roman"/>
          <w:sz w:val="36"/>
          <w:szCs w:val="36"/>
          <w:u w:color="000000"/>
          <w:lang w:val="zh-TW" w:eastAsia="zh-TW"/>
        </w:rPr>
      </w:pPr>
      <w:bookmarkStart w:id="7" w:name="_Toc194067111"/>
      <w:r>
        <w:rPr>
          <w:rFonts w:ascii="Times New Roman" w:hAnsi="Times New Roman" w:eastAsia="黑体" w:cs="Times New Roman"/>
          <w:sz w:val="36"/>
          <w:szCs w:val="36"/>
          <w:u w:color="000000"/>
          <w:lang w:val="zh-TW" w:eastAsia="zh-TW"/>
        </w:rPr>
        <w:t xml:space="preserve">第二章  </w:t>
      </w:r>
      <w:bookmarkEnd w:id="4"/>
      <w:bookmarkEnd w:id="5"/>
      <w:bookmarkEnd w:id="6"/>
      <w:bookmarkStart w:id="8" w:name="_Toc102828570"/>
      <w:r>
        <w:rPr>
          <w:rFonts w:hint="eastAsia" w:ascii="Times New Roman" w:hAnsi="Times New Roman" w:eastAsia="黑体" w:cs="Times New Roman"/>
          <w:sz w:val="36"/>
          <w:szCs w:val="36"/>
          <w:u w:color="000000"/>
          <w:lang w:val="zh-TW" w:eastAsia="zh-TW"/>
        </w:rPr>
        <w:t>采购说明和要求</w:t>
      </w:r>
      <w:bookmarkEnd w:id="7"/>
      <w:bookmarkEnd w:id="8"/>
    </w:p>
    <w:p w14:paraId="11E2C0C3">
      <w:pPr>
        <w:jc w:val="left"/>
        <w:rPr>
          <w:sz w:val="28"/>
          <w:szCs w:val="28"/>
        </w:rPr>
      </w:pPr>
    </w:p>
    <w:tbl>
      <w:tblPr>
        <w:tblStyle w:val="26"/>
        <w:tblW w:w="5269" w:type="pct"/>
        <w:tblInd w:w="-42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3"/>
        <w:gridCol w:w="1649"/>
        <w:gridCol w:w="7047"/>
      </w:tblGrid>
      <w:tr w14:paraId="2B07536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0" w:hRule="atLeast"/>
          <w:tblHeader/>
        </w:trPr>
        <w:tc>
          <w:tcPr>
            <w:tcW w:w="334" w:type="pct"/>
            <w:tcBorders>
              <w:top w:val="single" w:color="auto" w:sz="6" w:space="0"/>
            </w:tcBorders>
            <w:vAlign w:val="center"/>
          </w:tcPr>
          <w:p w14:paraId="4309AD24">
            <w:pPr>
              <w:jc w:val="center"/>
              <w:rPr>
                <w:rFonts w:hint="eastAsia" w:ascii="宋体" w:hAnsi="宋体" w:eastAsia="宋体" w:cs="宋体"/>
                <w:b/>
                <w:szCs w:val="21"/>
              </w:rPr>
            </w:pPr>
            <w:r>
              <w:rPr>
                <w:rFonts w:hint="eastAsia" w:ascii="宋体" w:hAnsi="宋体" w:eastAsia="宋体" w:cs="宋体"/>
                <w:b/>
                <w:szCs w:val="21"/>
              </w:rPr>
              <w:t>序号</w:t>
            </w:r>
          </w:p>
        </w:tc>
        <w:tc>
          <w:tcPr>
            <w:tcW w:w="885" w:type="pct"/>
            <w:tcBorders>
              <w:top w:val="single" w:color="auto" w:sz="6" w:space="0"/>
            </w:tcBorders>
            <w:vAlign w:val="center"/>
          </w:tcPr>
          <w:p w14:paraId="65440FAC">
            <w:pPr>
              <w:jc w:val="center"/>
              <w:rPr>
                <w:rFonts w:hint="eastAsia" w:ascii="宋体" w:hAnsi="宋体" w:eastAsia="宋体" w:cs="宋体"/>
                <w:b/>
                <w:szCs w:val="21"/>
              </w:rPr>
            </w:pPr>
            <w:r>
              <w:rPr>
                <w:rFonts w:hint="eastAsia" w:ascii="宋体" w:hAnsi="宋体" w:eastAsia="宋体" w:cs="宋体"/>
                <w:b/>
                <w:szCs w:val="21"/>
              </w:rPr>
              <w:t>内容</w:t>
            </w:r>
          </w:p>
        </w:tc>
        <w:tc>
          <w:tcPr>
            <w:tcW w:w="3781" w:type="pct"/>
            <w:tcBorders>
              <w:top w:val="single" w:color="auto" w:sz="6" w:space="0"/>
            </w:tcBorders>
            <w:vAlign w:val="center"/>
          </w:tcPr>
          <w:p w14:paraId="7F1A3244">
            <w:pPr>
              <w:jc w:val="center"/>
              <w:rPr>
                <w:rFonts w:hint="eastAsia" w:ascii="宋体" w:hAnsi="宋体" w:eastAsia="宋体" w:cs="宋体"/>
                <w:b/>
                <w:szCs w:val="21"/>
              </w:rPr>
            </w:pPr>
            <w:r>
              <w:rPr>
                <w:rFonts w:hint="eastAsia" w:ascii="宋体" w:hAnsi="宋体" w:eastAsia="宋体" w:cs="宋体"/>
                <w:b/>
                <w:szCs w:val="21"/>
              </w:rPr>
              <w:t>说明与要求</w:t>
            </w:r>
          </w:p>
        </w:tc>
      </w:tr>
      <w:tr w14:paraId="2BCC997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5317D4F6">
            <w:pPr>
              <w:jc w:val="center"/>
              <w:rPr>
                <w:rFonts w:hint="eastAsia" w:ascii="宋体" w:hAnsi="宋体" w:eastAsia="宋体" w:cs="宋体"/>
                <w:szCs w:val="21"/>
              </w:rPr>
            </w:pPr>
            <w:r>
              <w:rPr>
                <w:rFonts w:ascii="宋体" w:hAnsi="宋体" w:eastAsia="宋体" w:cs="宋体"/>
                <w:szCs w:val="21"/>
              </w:rPr>
              <w:t>1</w:t>
            </w:r>
          </w:p>
        </w:tc>
        <w:tc>
          <w:tcPr>
            <w:tcW w:w="885" w:type="pct"/>
            <w:vAlign w:val="center"/>
          </w:tcPr>
          <w:p w14:paraId="5451B7D5">
            <w:pPr>
              <w:autoSpaceDE w:val="0"/>
              <w:autoSpaceDN w:val="0"/>
              <w:jc w:val="center"/>
              <w:rPr>
                <w:rFonts w:hint="eastAsia" w:ascii="宋体" w:hAnsi="宋体" w:eastAsia="宋体" w:cs="宋体"/>
                <w:szCs w:val="21"/>
              </w:rPr>
            </w:pPr>
            <w:r>
              <w:rPr>
                <w:rFonts w:hint="eastAsia" w:ascii="宋体" w:hAnsi="宋体" w:eastAsia="宋体" w:cs="宋体"/>
                <w:szCs w:val="21"/>
              </w:rPr>
              <w:t>采购方式及要求</w:t>
            </w:r>
          </w:p>
        </w:tc>
        <w:tc>
          <w:tcPr>
            <w:tcW w:w="3781" w:type="pct"/>
            <w:vAlign w:val="center"/>
          </w:tcPr>
          <w:p w14:paraId="5E0657BE">
            <w:pPr>
              <w:autoSpaceDE w:val="0"/>
              <w:autoSpaceDN w:val="0"/>
              <w:rPr>
                <w:rFonts w:hint="eastAsia" w:ascii="宋体" w:hAnsi="宋体" w:eastAsia="宋体" w:cs="宋体"/>
                <w:szCs w:val="21"/>
              </w:rPr>
            </w:pPr>
            <w:r>
              <w:rPr>
                <w:rFonts w:hint="eastAsia" w:ascii="宋体" w:hAnsi="宋体" w:eastAsia="宋体" w:cs="宋体"/>
                <w:szCs w:val="21"/>
              </w:rPr>
              <w:t xml:space="preserve">1. </w:t>
            </w: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竞争性谈判：根据采购文件要求提供响应材料，在供应商实质性响应本项目的前提下，根据现场谈判的最终报价和承诺按评分办法进行打分，并按评分结果进行排名。</w:t>
            </w:r>
          </w:p>
          <w:p w14:paraId="34610D69">
            <w:pPr>
              <w:autoSpaceDE w:val="0"/>
              <w:autoSpaceDN w:val="0"/>
              <w:rPr>
                <w:rFonts w:hint="eastAsia" w:ascii="宋体" w:hAnsi="宋体" w:eastAsia="宋体" w:cs="宋体"/>
                <w:szCs w:val="21"/>
              </w:rPr>
            </w:pPr>
            <w:r>
              <w:rPr>
                <w:rFonts w:hint="eastAsia" w:ascii="宋体" w:hAnsi="宋体" w:eastAsia="宋体" w:cs="宋体"/>
                <w:szCs w:val="21"/>
              </w:rPr>
              <w:t>2. □询价：根据采购文件要求提供响应材料，在供应商实质性响应本项目的前提下，根据供应商最终报价从低到高进行排名。报价轮次说明如下：</w:t>
            </w:r>
          </w:p>
          <w:p w14:paraId="0A4C3284">
            <w:pPr>
              <w:autoSpaceDE w:val="0"/>
              <w:autoSpaceDN w:val="0"/>
              <w:ind w:firstLine="420" w:firstLineChars="200"/>
              <w:rPr>
                <w:rFonts w:hint="eastAsia" w:ascii="宋体" w:hAnsi="宋体" w:eastAsia="宋体" w:cs="宋体"/>
                <w:szCs w:val="21"/>
              </w:rPr>
            </w:pPr>
            <w:r>
              <w:rPr>
                <w:rFonts w:hint="eastAsia" w:ascii="宋体" w:hAnsi="宋体" w:eastAsia="宋体" w:cs="宋体"/>
                <w:szCs w:val="21"/>
              </w:rPr>
              <w:t>□一轮报价，以响应材料中提供的价格为准。</w:t>
            </w:r>
          </w:p>
          <w:p w14:paraId="283A9C5D">
            <w:pPr>
              <w:autoSpaceDE w:val="0"/>
              <w:autoSpaceDN w:val="0"/>
              <w:ind w:firstLine="420" w:firstLineChars="200"/>
              <w:rPr>
                <w:rFonts w:hint="eastAsia" w:ascii="宋体" w:hAnsi="宋体" w:eastAsia="宋体" w:cs="宋体"/>
                <w:szCs w:val="21"/>
              </w:rPr>
            </w:pPr>
            <w:r>
              <w:rPr>
                <w:rFonts w:hint="eastAsia" w:ascii="宋体" w:hAnsi="宋体" w:eastAsia="宋体" w:cs="宋体"/>
                <w:szCs w:val="21"/>
              </w:rPr>
              <w:t>□多轮报价，以供应商提交的最终报价为准。</w:t>
            </w:r>
          </w:p>
          <w:p w14:paraId="6B8D6E47">
            <w:pPr>
              <w:autoSpaceDE w:val="0"/>
              <w:autoSpaceDN w:val="0"/>
              <w:rPr>
                <w:rFonts w:hint="eastAsia" w:ascii="宋体" w:hAnsi="宋体" w:eastAsia="宋体" w:cs="宋体"/>
              </w:rPr>
            </w:pPr>
            <w:r>
              <w:rPr>
                <w:rFonts w:hint="eastAsia" w:ascii="宋体" w:hAnsi="宋体" w:eastAsia="宋体" w:cs="宋体"/>
                <w:szCs w:val="21"/>
              </w:rPr>
              <w:t>3. □单一来源谈判：根据采购文件要求提供响应材料，在供应商实质性响应本项目的前提下，确认成交价格。</w:t>
            </w:r>
          </w:p>
        </w:tc>
      </w:tr>
      <w:tr w14:paraId="07D7011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63287E36">
            <w:pPr>
              <w:jc w:val="center"/>
              <w:rPr>
                <w:rFonts w:hint="eastAsia" w:ascii="宋体" w:hAnsi="宋体" w:eastAsia="宋体" w:cs="宋体"/>
                <w:szCs w:val="21"/>
              </w:rPr>
            </w:pPr>
            <w:r>
              <w:rPr>
                <w:rFonts w:ascii="宋体" w:hAnsi="宋体" w:eastAsia="宋体" w:cs="宋体"/>
                <w:szCs w:val="21"/>
              </w:rPr>
              <w:t>2</w:t>
            </w:r>
          </w:p>
        </w:tc>
        <w:tc>
          <w:tcPr>
            <w:tcW w:w="885" w:type="pct"/>
            <w:vAlign w:val="center"/>
          </w:tcPr>
          <w:p w14:paraId="237ED3DB">
            <w:pPr>
              <w:autoSpaceDE w:val="0"/>
              <w:autoSpaceDN w:val="0"/>
              <w:jc w:val="center"/>
              <w:rPr>
                <w:rFonts w:hint="eastAsia" w:ascii="宋体" w:hAnsi="宋体" w:eastAsia="宋体" w:cs="宋体"/>
                <w:szCs w:val="21"/>
              </w:rPr>
            </w:pPr>
            <w:r>
              <w:rPr>
                <w:rFonts w:hint="eastAsia" w:ascii="宋体" w:hAnsi="宋体" w:eastAsia="宋体" w:cs="宋体"/>
                <w:szCs w:val="21"/>
              </w:rPr>
              <w:t>响应材料格式</w:t>
            </w:r>
          </w:p>
        </w:tc>
        <w:tc>
          <w:tcPr>
            <w:tcW w:w="3781" w:type="pct"/>
            <w:vAlign w:val="center"/>
          </w:tcPr>
          <w:p w14:paraId="53924429">
            <w:pPr>
              <w:autoSpaceDE w:val="0"/>
              <w:autoSpaceDN w:val="0"/>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单独报价单（详见附表）。</w:t>
            </w:r>
          </w:p>
          <w:p w14:paraId="2D4DBD4D">
            <w:pPr>
              <w:autoSpaceDE w:val="0"/>
              <w:autoSpaceDN w:val="0"/>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响应文件：响应文件应逐页标明页码，并加盖骑缝章。采购文件中所有标注“盖章”处均指单位公章；如确需要替代，则须附公章对相关章件等的授权。</w:t>
            </w:r>
          </w:p>
          <w:p w14:paraId="1A63F5BD">
            <w:pPr>
              <w:autoSpaceDE w:val="0"/>
              <w:autoSpaceDN w:val="0"/>
              <w:rPr>
                <w:rFonts w:hint="eastAsia" w:ascii="宋体" w:hAnsi="宋体" w:eastAsia="宋体" w:cs="宋体"/>
                <w:u w:val="single"/>
              </w:rPr>
            </w:pPr>
            <w:r>
              <w:rPr>
                <w:rFonts w:hint="eastAsia" w:ascii="宋体" w:hAnsi="宋体" w:eastAsia="宋体" w:cs="宋体"/>
                <w:szCs w:val="21"/>
              </w:rPr>
              <w:t>□其他：</w:t>
            </w:r>
            <w:r>
              <w:rPr>
                <w:rFonts w:hint="eastAsia" w:ascii="宋体" w:hAnsi="宋体" w:eastAsia="宋体" w:cs="宋体"/>
                <w:szCs w:val="21"/>
                <w:u w:val="single"/>
              </w:rPr>
              <w:t xml:space="preserve">                     </w:t>
            </w:r>
            <w:r>
              <w:rPr>
                <w:rFonts w:hint="eastAsia" w:ascii="宋体" w:hAnsi="宋体" w:eastAsia="宋体" w:cs="宋体"/>
                <w:szCs w:val="21"/>
              </w:rPr>
              <w:t xml:space="preserve"> 。</w:t>
            </w:r>
          </w:p>
        </w:tc>
      </w:tr>
      <w:tr w14:paraId="22DEAD4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5E50C5DC">
            <w:pPr>
              <w:autoSpaceDE w:val="0"/>
              <w:autoSpaceDN w:val="0"/>
              <w:jc w:val="center"/>
              <w:rPr>
                <w:rFonts w:hint="eastAsia" w:ascii="宋体" w:hAnsi="宋体" w:eastAsia="宋体" w:cs="宋体"/>
                <w:szCs w:val="21"/>
              </w:rPr>
            </w:pPr>
            <w:r>
              <w:rPr>
                <w:rFonts w:hint="eastAsia" w:ascii="宋体" w:hAnsi="宋体" w:eastAsia="宋体" w:cs="宋体"/>
                <w:szCs w:val="21"/>
              </w:rPr>
              <w:t>3</w:t>
            </w:r>
          </w:p>
        </w:tc>
        <w:tc>
          <w:tcPr>
            <w:tcW w:w="885" w:type="pct"/>
            <w:vAlign w:val="center"/>
          </w:tcPr>
          <w:p w14:paraId="5BC37D36">
            <w:pPr>
              <w:autoSpaceDE w:val="0"/>
              <w:autoSpaceDN w:val="0"/>
              <w:jc w:val="center"/>
              <w:rPr>
                <w:rFonts w:hint="eastAsia" w:ascii="宋体" w:hAnsi="宋体" w:eastAsia="宋体" w:cs="宋体"/>
                <w:szCs w:val="21"/>
              </w:rPr>
            </w:pPr>
            <w:r>
              <w:rPr>
                <w:rFonts w:hint="eastAsia" w:ascii="宋体" w:hAnsi="宋体" w:eastAsia="宋体" w:cs="宋体"/>
                <w:szCs w:val="21"/>
              </w:rPr>
              <w:t>采购文件</w:t>
            </w:r>
          </w:p>
          <w:p w14:paraId="75A756DB">
            <w:pPr>
              <w:autoSpaceDE w:val="0"/>
              <w:autoSpaceDN w:val="0"/>
              <w:jc w:val="center"/>
              <w:rPr>
                <w:rFonts w:hint="eastAsia" w:ascii="宋体" w:hAnsi="宋体" w:eastAsia="宋体" w:cs="宋体"/>
                <w:szCs w:val="21"/>
              </w:rPr>
            </w:pPr>
            <w:r>
              <w:rPr>
                <w:rFonts w:hint="eastAsia" w:ascii="宋体" w:hAnsi="宋体" w:eastAsia="宋体" w:cs="宋体"/>
                <w:szCs w:val="21"/>
              </w:rPr>
              <w:t>涉及部分</w:t>
            </w:r>
          </w:p>
        </w:tc>
        <w:tc>
          <w:tcPr>
            <w:tcW w:w="3781" w:type="pct"/>
            <w:vAlign w:val="center"/>
          </w:tcPr>
          <w:p w14:paraId="2FBC1262">
            <w:pPr>
              <w:autoSpaceDE w:val="0"/>
              <w:autoSpaceDN w:val="0"/>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第一章 竞争性谈判公告   ；</w:t>
            </w: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第二章 采购说明；</w:t>
            </w:r>
          </w:p>
          <w:p w14:paraId="5D1A1922">
            <w:pPr>
              <w:autoSpaceDE w:val="0"/>
              <w:autoSpaceDN w:val="0"/>
              <w:rPr>
                <w:rFonts w:hint="eastAsia" w:ascii="宋体" w:hAnsi="宋体" w:eastAsia="宋体" w:cs="宋体"/>
                <w:szCs w:val="21"/>
                <w:u w:val="single"/>
                <w:lang w:val="en-SG"/>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第三章 评审办法         ；</w:t>
            </w: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第四章 合同格式</w:t>
            </w:r>
          </w:p>
          <w:p w14:paraId="4D431DE5">
            <w:pPr>
              <w:autoSpaceDE w:val="0"/>
              <w:autoSpaceDN w:val="0"/>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第五章 技术需求书       ；</w:t>
            </w: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 xml:space="preserve">第六章 响应文件格式   </w:t>
            </w:r>
          </w:p>
        </w:tc>
      </w:tr>
      <w:tr w14:paraId="28B58F2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tblHeader/>
        </w:trPr>
        <w:tc>
          <w:tcPr>
            <w:tcW w:w="334" w:type="pct"/>
            <w:vAlign w:val="center"/>
          </w:tcPr>
          <w:p w14:paraId="53AAB437">
            <w:pPr>
              <w:autoSpaceDE w:val="0"/>
              <w:autoSpaceDN w:val="0"/>
              <w:jc w:val="center"/>
              <w:rPr>
                <w:rFonts w:hint="eastAsia" w:ascii="宋体" w:hAnsi="宋体" w:eastAsia="宋体" w:cs="宋体"/>
                <w:szCs w:val="21"/>
              </w:rPr>
            </w:pPr>
            <w:r>
              <w:rPr>
                <w:rFonts w:hint="eastAsia" w:ascii="宋体" w:hAnsi="宋体" w:eastAsia="宋体" w:cs="宋体"/>
                <w:szCs w:val="21"/>
              </w:rPr>
              <w:t>4</w:t>
            </w:r>
          </w:p>
        </w:tc>
        <w:tc>
          <w:tcPr>
            <w:tcW w:w="885" w:type="pct"/>
            <w:vAlign w:val="center"/>
          </w:tcPr>
          <w:p w14:paraId="56D094FF">
            <w:pPr>
              <w:autoSpaceDE w:val="0"/>
              <w:autoSpaceDN w:val="0"/>
              <w:jc w:val="center"/>
              <w:rPr>
                <w:rFonts w:hint="eastAsia" w:ascii="宋体" w:hAnsi="宋体" w:eastAsia="宋体" w:cs="宋体"/>
                <w:szCs w:val="21"/>
              </w:rPr>
            </w:pPr>
            <w:r>
              <w:rPr>
                <w:rFonts w:hint="eastAsia" w:ascii="宋体" w:hAnsi="宋体" w:eastAsia="宋体" w:cs="宋体"/>
                <w:szCs w:val="21"/>
              </w:rPr>
              <w:t>最高限价或</w:t>
            </w:r>
          </w:p>
          <w:p w14:paraId="1AF0CD83">
            <w:pPr>
              <w:autoSpaceDE w:val="0"/>
              <w:autoSpaceDN w:val="0"/>
              <w:jc w:val="center"/>
              <w:rPr>
                <w:rFonts w:hint="eastAsia" w:ascii="宋体" w:hAnsi="宋体" w:eastAsia="宋体" w:cs="宋体"/>
                <w:szCs w:val="21"/>
              </w:rPr>
            </w:pPr>
            <w:r>
              <w:rPr>
                <w:rFonts w:hint="eastAsia" w:ascii="宋体" w:hAnsi="宋体" w:eastAsia="宋体" w:cs="宋体"/>
                <w:szCs w:val="21"/>
              </w:rPr>
              <w:t>其计算方法</w:t>
            </w:r>
          </w:p>
        </w:tc>
        <w:tc>
          <w:tcPr>
            <w:tcW w:w="3781" w:type="pct"/>
            <w:vAlign w:val="center"/>
          </w:tcPr>
          <w:p w14:paraId="2308CA06">
            <w:pPr>
              <w:autoSpaceDE w:val="0"/>
              <w:autoSpaceDN w:val="0"/>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本项目不涉及。</w:t>
            </w:r>
          </w:p>
          <w:p w14:paraId="233AFAD5">
            <w:pPr>
              <w:autoSpaceDE w:val="0"/>
              <w:autoSpaceDN w:val="0"/>
              <w:rPr>
                <w:rFonts w:hint="eastAsia" w:ascii="宋体" w:hAnsi="宋体" w:eastAsia="宋体" w:cs="宋体"/>
                <w:szCs w:val="21"/>
              </w:rPr>
            </w:pPr>
            <w:r>
              <w:rPr>
                <w:rFonts w:hint="eastAsia" w:ascii="宋体" w:hAnsi="宋体" w:eastAsia="宋体" w:cs="宋体"/>
                <w:szCs w:val="21"/>
              </w:rPr>
              <w:t>□最高响应限价/最高响应限价计算方法为：</w:t>
            </w:r>
            <w:r>
              <w:rPr>
                <w:rFonts w:hint="eastAsia" w:ascii="宋体" w:hAnsi="宋体" w:eastAsia="宋体" w:cs="宋体"/>
                <w:szCs w:val="21"/>
                <w:u w:val="single"/>
              </w:rPr>
              <w:t xml:space="preserve">             </w:t>
            </w:r>
            <w:r>
              <w:rPr>
                <w:rFonts w:hint="eastAsia" w:ascii="宋体" w:hAnsi="宋体" w:eastAsia="宋体" w:cs="宋体"/>
                <w:szCs w:val="21"/>
              </w:rPr>
              <w:t xml:space="preserve"> 。           </w:t>
            </w:r>
          </w:p>
        </w:tc>
      </w:tr>
      <w:tr w14:paraId="63916F9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tblHeader/>
        </w:trPr>
        <w:tc>
          <w:tcPr>
            <w:tcW w:w="334" w:type="pct"/>
            <w:vAlign w:val="center"/>
          </w:tcPr>
          <w:p w14:paraId="58409EFB">
            <w:pPr>
              <w:jc w:val="center"/>
              <w:rPr>
                <w:rFonts w:hint="eastAsia" w:ascii="宋体" w:hAnsi="宋体" w:eastAsia="宋体" w:cs="宋体"/>
              </w:rPr>
            </w:pPr>
            <w:r>
              <w:rPr>
                <w:rFonts w:ascii="宋体" w:hAnsi="宋体" w:eastAsia="宋体" w:cs="宋体"/>
              </w:rPr>
              <w:t>5</w:t>
            </w:r>
          </w:p>
        </w:tc>
        <w:tc>
          <w:tcPr>
            <w:tcW w:w="885" w:type="pct"/>
            <w:vAlign w:val="center"/>
          </w:tcPr>
          <w:p w14:paraId="421FF3A7">
            <w:pPr>
              <w:autoSpaceDE w:val="0"/>
              <w:autoSpaceDN w:val="0"/>
              <w:jc w:val="center"/>
              <w:rPr>
                <w:rFonts w:hint="eastAsia" w:ascii="宋体" w:hAnsi="宋体" w:eastAsia="宋体" w:cs="宋体"/>
                <w:szCs w:val="21"/>
              </w:rPr>
            </w:pPr>
            <w:r>
              <w:rPr>
                <w:rFonts w:hint="eastAsia" w:ascii="宋体" w:hAnsi="宋体" w:eastAsia="宋体" w:cs="宋体"/>
                <w:szCs w:val="21"/>
              </w:rPr>
              <w:t>报价要求</w:t>
            </w:r>
          </w:p>
        </w:tc>
        <w:tc>
          <w:tcPr>
            <w:tcW w:w="3781" w:type="pct"/>
            <w:vAlign w:val="center"/>
          </w:tcPr>
          <w:p w14:paraId="5ED319CB">
            <w:pPr>
              <w:rPr>
                <w:rFonts w:hint="eastAsia" w:ascii="宋体" w:hAnsi="宋体" w:eastAsia="宋体" w:cs="宋体"/>
                <w:szCs w:val="21"/>
              </w:rPr>
            </w:pPr>
            <w:r>
              <w:rPr>
                <w:rFonts w:hint="eastAsia" w:ascii="宋体" w:hAnsi="宋体" w:eastAsia="宋体" w:cs="宋体"/>
              </w:rPr>
              <w:t>供应商应按照本项目报价格式（详见附表）要求在响应文件提供报价，报价币种为人民币。</w:t>
            </w:r>
          </w:p>
        </w:tc>
      </w:tr>
      <w:tr w14:paraId="214027A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5D71D9F4">
            <w:pPr>
              <w:jc w:val="center"/>
              <w:rPr>
                <w:rFonts w:hint="eastAsia" w:ascii="宋体" w:hAnsi="宋体" w:eastAsia="宋体" w:cs="宋体"/>
              </w:rPr>
            </w:pPr>
            <w:r>
              <w:rPr>
                <w:rFonts w:ascii="宋体" w:hAnsi="宋体" w:eastAsia="宋体" w:cs="宋体"/>
              </w:rPr>
              <w:t>6</w:t>
            </w:r>
          </w:p>
        </w:tc>
        <w:tc>
          <w:tcPr>
            <w:tcW w:w="885" w:type="pct"/>
            <w:vAlign w:val="center"/>
          </w:tcPr>
          <w:p w14:paraId="73C33C08">
            <w:pPr>
              <w:autoSpaceDE w:val="0"/>
              <w:autoSpaceDN w:val="0"/>
              <w:jc w:val="center"/>
              <w:rPr>
                <w:rFonts w:hint="eastAsia" w:ascii="宋体" w:hAnsi="宋体" w:eastAsia="宋体" w:cs="宋体"/>
                <w:szCs w:val="21"/>
              </w:rPr>
            </w:pPr>
            <w:r>
              <w:rPr>
                <w:rFonts w:hint="eastAsia" w:ascii="宋体" w:hAnsi="宋体" w:eastAsia="宋体" w:cs="宋体"/>
                <w:szCs w:val="21"/>
              </w:rPr>
              <w:t>响应保证金</w:t>
            </w:r>
          </w:p>
        </w:tc>
        <w:tc>
          <w:tcPr>
            <w:tcW w:w="3781" w:type="pct"/>
            <w:vAlign w:val="center"/>
          </w:tcPr>
          <w:p w14:paraId="23E2E94E">
            <w:pPr>
              <w:autoSpaceDE w:val="0"/>
              <w:autoSpaceDN w:val="0"/>
              <w:jc w:val="left"/>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本项目不涉及。</w:t>
            </w:r>
          </w:p>
          <w:p w14:paraId="531D2C7A">
            <w:pPr>
              <w:autoSpaceDE w:val="0"/>
              <w:autoSpaceDN w:val="0"/>
              <w:jc w:val="left"/>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color w:val="000000"/>
                <w:szCs w:val="21"/>
              </w:rPr>
              <w:t>响应保证金：</w:t>
            </w:r>
            <w:r>
              <w:rPr>
                <w:rFonts w:hint="eastAsia" w:ascii="宋体" w:hAnsi="宋体" w:eastAsia="宋体" w:cs="宋体"/>
                <w:szCs w:val="21"/>
                <w:u w:val="single"/>
              </w:rPr>
              <w:t xml:space="preserve">            </w:t>
            </w:r>
          </w:p>
        </w:tc>
      </w:tr>
      <w:tr w14:paraId="00BFF4F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tblHeader/>
        </w:trPr>
        <w:tc>
          <w:tcPr>
            <w:tcW w:w="334" w:type="pct"/>
            <w:vAlign w:val="center"/>
          </w:tcPr>
          <w:p w14:paraId="353EEC25">
            <w:pPr>
              <w:jc w:val="center"/>
              <w:rPr>
                <w:rFonts w:hint="eastAsia" w:ascii="宋体" w:hAnsi="宋体" w:eastAsia="宋体" w:cs="宋体"/>
              </w:rPr>
            </w:pPr>
            <w:r>
              <w:rPr>
                <w:rFonts w:ascii="宋体" w:hAnsi="宋体" w:eastAsia="宋体" w:cs="宋体"/>
              </w:rPr>
              <w:t>7</w:t>
            </w:r>
          </w:p>
        </w:tc>
        <w:tc>
          <w:tcPr>
            <w:tcW w:w="885" w:type="pct"/>
            <w:vAlign w:val="center"/>
          </w:tcPr>
          <w:p w14:paraId="49F6082E">
            <w:pPr>
              <w:autoSpaceDE w:val="0"/>
              <w:autoSpaceDN w:val="0"/>
              <w:jc w:val="center"/>
              <w:rPr>
                <w:rFonts w:hint="eastAsia" w:ascii="宋体" w:hAnsi="宋体" w:eastAsia="宋体" w:cs="宋体"/>
                <w:szCs w:val="21"/>
              </w:rPr>
            </w:pPr>
            <w:r>
              <w:rPr>
                <w:rFonts w:hint="eastAsia" w:ascii="宋体" w:hAnsi="宋体" w:eastAsia="宋体" w:cs="宋体"/>
                <w:szCs w:val="21"/>
              </w:rPr>
              <w:t>商务要求</w:t>
            </w:r>
          </w:p>
        </w:tc>
        <w:tc>
          <w:tcPr>
            <w:tcW w:w="3781" w:type="pct"/>
            <w:vAlign w:val="center"/>
          </w:tcPr>
          <w:p w14:paraId="7EA4A426">
            <w:pPr>
              <w:autoSpaceDE w:val="0"/>
              <w:autoSpaceDN w:val="0"/>
              <w:jc w:val="left"/>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本项目不涉及。</w:t>
            </w:r>
          </w:p>
          <w:p w14:paraId="0D3A4509">
            <w:pPr>
              <w:autoSpaceDE w:val="0"/>
              <w:autoSpaceDN w:val="0"/>
              <w:jc w:val="left"/>
              <w:rPr>
                <w:rFonts w:hint="eastAsia" w:ascii="宋体" w:hAnsi="宋体" w:eastAsia="宋体" w:cs="宋体"/>
                <w:szCs w:val="21"/>
              </w:rPr>
            </w:pPr>
            <w:r>
              <w:rPr>
                <w:rFonts w:hint="eastAsia" w:ascii="宋体" w:hAnsi="宋体" w:eastAsia="宋体" w:cs="宋体"/>
                <w:szCs w:val="21"/>
              </w:rPr>
              <w:t>□具体要求如下，不满足如下要求的将视为不实质性响应：</w:t>
            </w:r>
          </w:p>
          <w:p w14:paraId="0F772E3C">
            <w:pPr>
              <w:autoSpaceDE w:val="0"/>
              <w:autoSpaceDN w:val="0"/>
              <w:jc w:val="left"/>
              <w:rPr>
                <w:rFonts w:hint="eastAsia" w:ascii="宋体" w:hAnsi="宋体" w:eastAsia="宋体" w:cs="宋体"/>
                <w:szCs w:val="21"/>
              </w:rPr>
            </w:pPr>
            <w:r>
              <w:rPr>
                <w:rFonts w:hint="eastAsia" w:ascii="宋体" w:hAnsi="宋体" w:eastAsia="宋体" w:cs="宋体"/>
                <w:szCs w:val="21"/>
              </w:rPr>
              <w:t>1、在执行合同付款时，供应商须按采购人要求开具增值税专用发票；</w:t>
            </w:r>
          </w:p>
          <w:p w14:paraId="6A355D9B">
            <w:pPr>
              <w:pStyle w:val="6"/>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2、付款方式：此项目50%以上货款以半年期银行承兑汇票支付，剩余款项以银行存款电汇方式支付。</w:t>
            </w:r>
          </w:p>
          <w:p w14:paraId="1C54EAC9">
            <w:pPr>
              <w:autoSpaceDE w:val="0"/>
              <w:autoSpaceDN w:val="0"/>
              <w:jc w:val="left"/>
              <w:rPr>
                <w:rFonts w:hint="eastAsia" w:ascii="宋体" w:hAnsi="宋体" w:eastAsia="宋体" w:cs="宋体"/>
              </w:rPr>
            </w:pPr>
            <w:r>
              <w:rPr>
                <w:rFonts w:hint="eastAsia" w:ascii="宋体" w:hAnsi="宋体" w:eastAsia="宋体" w:cs="宋体"/>
                <w:szCs w:val="21"/>
              </w:rPr>
              <w:t>其他为非实质性响应满足要求，详见附件。</w:t>
            </w:r>
          </w:p>
        </w:tc>
      </w:tr>
      <w:tr w14:paraId="1E64001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tblHeader/>
        </w:trPr>
        <w:tc>
          <w:tcPr>
            <w:tcW w:w="334" w:type="pct"/>
            <w:vAlign w:val="center"/>
          </w:tcPr>
          <w:p w14:paraId="5F2485CF">
            <w:pPr>
              <w:jc w:val="center"/>
              <w:rPr>
                <w:rFonts w:hint="eastAsia" w:ascii="宋体" w:hAnsi="宋体" w:eastAsia="宋体" w:cs="宋体"/>
              </w:rPr>
            </w:pPr>
            <w:r>
              <w:rPr>
                <w:rFonts w:ascii="宋体" w:hAnsi="宋体" w:eastAsia="宋体" w:cs="宋体"/>
              </w:rPr>
              <w:t>8</w:t>
            </w:r>
          </w:p>
        </w:tc>
        <w:tc>
          <w:tcPr>
            <w:tcW w:w="885" w:type="pct"/>
            <w:vAlign w:val="center"/>
          </w:tcPr>
          <w:p w14:paraId="172E4240">
            <w:pPr>
              <w:autoSpaceDE w:val="0"/>
              <w:autoSpaceDN w:val="0"/>
              <w:jc w:val="center"/>
              <w:rPr>
                <w:rFonts w:hint="eastAsia" w:ascii="宋体" w:hAnsi="宋体" w:eastAsia="宋体" w:cs="宋体"/>
                <w:szCs w:val="21"/>
              </w:rPr>
            </w:pPr>
            <w:r>
              <w:rPr>
                <w:rFonts w:hint="eastAsia" w:ascii="宋体" w:hAnsi="宋体" w:eastAsia="宋体" w:cs="宋体"/>
                <w:szCs w:val="21"/>
              </w:rPr>
              <w:t>技术要求</w:t>
            </w:r>
          </w:p>
        </w:tc>
        <w:tc>
          <w:tcPr>
            <w:tcW w:w="3781" w:type="pct"/>
            <w:vAlign w:val="center"/>
          </w:tcPr>
          <w:p w14:paraId="64B04D57">
            <w:pPr>
              <w:autoSpaceDE w:val="0"/>
              <w:autoSpaceDN w:val="0"/>
              <w:jc w:val="left"/>
              <w:rPr>
                <w:rFonts w:hint="eastAsia" w:ascii="宋体" w:hAnsi="宋体" w:eastAsia="宋体" w:cs="宋体"/>
                <w:szCs w:val="21"/>
              </w:rPr>
            </w:pPr>
            <w:r>
              <w:rPr>
                <w:rFonts w:hint="eastAsia" w:ascii="宋体" w:hAnsi="宋体" w:eastAsia="宋体" w:cs="宋体"/>
                <w:szCs w:val="21"/>
              </w:rPr>
              <w:t>□本项目不涉及。</w:t>
            </w:r>
          </w:p>
          <w:p w14:paraId="5A93F65E">
            <w:pPr>
              <w:autoSpaceDE w:val="0"/>
              <w:autoSpaceDN w:val="0"/>
              <w:jc w:val="left"/>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具体要求如下，不满足如下要求的将视为不实质性响应：：</w:t>
            </w:r>
          </w:p>
          <w:p w14:paraId="795F6656">
            <w:pPr>
              <w:autoSpaceDE w:val="0"/>
              <w:autoSpaceDN w:val="0"/>
              <w:jc w:val="left"/>
              <w:rPr>
                <w:rFonts w:hint="eastAsia" w:ascii="宋体" w:hAnsi="宋体" w:eastAsia="宋体" w:cs="宋体"/>
                <w:color w:val="000000"/>
                <w:szCs w:val="21"/>
              </w:rPr>
            </w:pPr>
            <w:r>
              <w:rPr>
                <w:rFonts w:hint="eastAsia" w:ascii="宋体" w:hAnsi="宋体" w:eastAsia="宋体" w:cs="宋体"/>
                <w:color w:val="000000"/>
                <w:szCs w:val="21"/>
              </w:rPr>
              <w:t>须满足第五章：技术需求书中所有条款。</w:t>
            </w:r>
          </w:p>
          <w:p w14:paraId="5BE5EA8D">
            <w:pPr>
              <w:autoSpaceDE w:val="0"/>
              <w:autoSpaceDN w:val="0"/>
              <w:jc w:val="left"/>
              <w:rPr>
                <w:rFonts w:hint="eastAsia" w:ascii="宋体" w:hAnsi="宋体" w:eastAsia="宋体" w:cs="宋体"/>
              </w:rPr>
            </w:pPr>
            <w:r>
              <w:rPr>
                <w:rFonts w:hint="eastAsia" w:ascii="宋体" w:hAnsi="宋体" w:eastAsia="宋体" w:cs="宋体"/>
                <w:color w:val="000000"/>
                <w:szCs w:val="21"/>
              </w:rPr>
              <w:t>其他为非实质性响应满足要求，详见附件。</w:t>
            </w:r>
          </w:p>
        </w:tc>
      </w:tr>
      <w:tr w14:paraId="5DEBDF6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tblHeader/>
        </w:trPr>
        <w:tc>
          <w:tcPr>
            <w:tcW w:w="334" w:type="pct"/>
            <w:vAlign w:val="center"/>
          </w:tcPr>
          <w:p w14:paraId="7D631B4F">
            <w:pPr>
              <w:jc w:val="center"/>
              <w:rPr>
                <w:rFonts w:hint="eastAsia" w:ascii="宋体" w:hAnsi="宋体" w:eastAsia="宋体" w:cs="宋体"/>
              </w:rPr>
            </w:pPr>
            <w:r>
              <w:rPr>
                <w:rFonts w:ascii="宋体" w:hAnsi="宋体" w:eastAsia="宋体" w:cs="宋体"/>
              </w:rPr>
              <w:t>9</w:t>
            </w:r>
          </w:p>
        </w:tc>
        <w:tc>
          <w:tcPr>
            <w:tcW w:w="885" w:type="pct"/>
            <w:vAlign w:val="center"/>
          </w:tcPr>
          <w:p w14:paraId="5E1B9A10">
            <w:pPr>
              <w:autoSpaceDE w:val="0"/>
              <w:autoSpaceDN w:val="0"/>
              <w:jc w:val="center"/>
              <w:rPr>
                <w:rFonts w:hint="eastAsia" w:ascii="宋体" w:hAnsi="宋体" w:eastAsia="宋体" w:cs="宋体"/>
                <w:szCs w:val="21"/>
              </w:rPr>
            </w:pPr>
            <w:r>
              <w:rPr>
                <w:rFonts w:hint="eastAsia" w:ascii="宋体" w:hAnsi="宋体" w:eastAsia="宋体" w:cs="宋体"/>
                <w:szCs w:val="21"/>
              </w:rPr>
              <w:t>响应材料有效期</w:t>
            </w:r>
          </w:p>
        </w:tc>
        <w:tc>
          <w:tcPr>
            <w:tcW w:w="3781" w:type="pct"/>
            <w:vAlign w:val="center"/>
          </w:tcPr>
          <w:p w14:paraId="63F23519">
            <w:pPr>
              <w:autoSpaceDE w:val="0"/>
              <w:autoSpaceDN w:val="0"/>
              <w:rPr>
                <w:rFonts w:hint="eastAsia" w:ascii="宋体" w:hAnsi="宋体" w:eastAsia="宋体" w:cs="宋体"/>
                <w:szCs w:val="21"/>
              </w:rPr>
            </w:pPr>
            <w:r>
              <w:rPr>
                <w:rFonts w:hint="eastAsia" w:ascii="宋体" w:hAnsi="宋体" w:eastAsia="宋体" w:cs="宋体"/>
              </w:rPr>
              <w:t>供应商递交的响应文件在规定的递交响应文件截止日后</w:t>
            </w:r>
            <w:r>
              <w:rPr>
                <w:rFonts w:hint="eastAsia" w:ascii="宋体" w:hAnsi="宋体" w:eastAsia="宋体" w:cs="宋体"/>
                <w:color w:val="000000"/>
                <w:szCs w:val="21"/>
              </w:rPr>
              <w:t>的</w:t>
            </w:r>
            <w:r>
              <w:rPr>
                <w:rFonts w:ascii="宋体" w:hAnsi="宋体" w:eastAsia="宋体" w:cs="宋体"/>
                <w:u w:val="single"/>
              </w:rPr>
              <w:t xml:space="preserve"> 90 </w:t>
            </w:r>
            <w:r>
              <w:rPr>
                <w:rFonts w:hint="eastAsia" w:ascii="宋体" w:hAnsi="宋体" w:eastAsia="宋体" w:cs="宋体"/>
              </w:rPr>
              <w:t>天</w:t>
            </w:r>
            <w:r>
              <w:rPr>
                <w:rFonts w:hint="eastAsia" w:ascii="宋体" w:hAnsi="宋体" w:eastAsia="宋体" w:cs="宋体"/>
                <w:color w:val="000000"/>
                <w:szCs w:val="21"/>
              </w:rPr>
              <w:t>内保持有效。</w:t>
            </w:r>
          </w:p>
        </w:tc>
      </w:tr>
      <w:tr w14:paraId="05CCDCF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3CE5DAF7">
            <w:pPr>
              <w:jc w:val="center"/>
              <w:rPr>
                <w:rFonts w:hint="eastAsia" w:ascii="宋体" w:hAnsi="宋体" w:eastAsia="宋体" w:cs="宋体"/>
              </w:rPr>
            </w:pPr>
            <w:r>
              <w:rPr>
                <w:rFonts w:ascii="宋体" w:hAnsi="宋体" w:eastAsia="宋体" w:cs="宋体"/>
              </w:rPr>
              <w:t>10</w:t>
            </w:r>
          </w:p>
        </w:tc>
        <w:tc>
          <w:tcPr>
            <w:tcW w:w="885" w:type="pct"/>
            <w:vAlign w:val="center"/>
          </w:tcPr>
          <w:p w14:paraId="590E1530">
            <w:pPr>
              <w:autoSpaceDE w:val="0"/>
              <w:autoSpaceDN w:val="0"/>
              <w:jc w:val="center"/>
              <w:rPr>
                <w:rFonts w:hint="eastAsia" w:ascii="宋体" w:hAnsi="宋体" w:eastAsia="宋体" w:cs="宋体"/>
                <w:szCs w:val="21"/>
              </w:rPr>
            </w:pPr>
            <w:r>
              <w:rPr>
                <w:rFonts w:hint="eastAsia" w:ascii="宋体" w:hAnsi="宋体" w:eastAsia="宋体" w:cs="宋体"/>
                <w:szCs w:val="21"/>
              </w:rPr>
              <w:t>组织方式</w:t>
            </w:r>
          </w:p>
        </w:tc>
        <w:tc>
          <w:tcPr>
            <w:tcW w:w="3781" w:type="pct"/>
            <w:vAlign w:val="center"/>
          </w:tcPr>
          <w:p w14:paraId="0C4FBC04">
            <w:pPr>
              <w:autoSpaceDE w:val="0"/>
              <w:autoSpaceDN w:val="0"/>
              <w:jc w:val="left"/>
              <w:rPr>
                <w:rFonts w:hint="eastAsia" w:ascii="宋体" w:hAnsi="宋体" w:eastAsia="宋体" w:cs="宋体"/>
                <w:szCs w:val="21"/>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szCs w:val="21"/>
              </w:rPr>
              <w:t>现场组织：采用现场组织方式，并要求：</w:t>
            </w:r>
            <w:r>
              <w:rPr>
                <w:rFonts w:hint="eastAsia" w:ascii="宋体" w:hAnsi="宋体" w:eastAsia="宋体" w:cs="宋体"/>
                <w:szCs w:val="21"/>
                <w:u w:val="single"/>
              </w:rPr>
              <w:t>供应商委托的授权代表</w:t>
            </w:r>
            <w:r>
              <w:rPr>
                <w:rFonts w:hint="eastAsia" w:ascii="宋体" w:hAnsi="宋体" w:eastAsia="宋体" w:cs="宋体"/>
                <w:szCs w:val="21"/>
              </w:rPr>
              <w:t>到场。</w:t>
            </w:r>
          </w:p>
          <w:p w14:paraId="69EC964E">
            <w:pPr>
              <w:autoSpaceDE w:val="0"/>
              <w:autoSpaceDN w:val="0"/>
              <w:jc w:val="left"/>
              <w:rPr>
                <w:rFonts w:hint="eastAsia" w:ascii="宋体" w:hAnsi="宋体" w:eastAsia="宋体" w:cs="宋体"/>
                <w:szCs w:val="21"/>
              </w:rPr>
            </w:pPr>
            <w:r>
              <w:rPr>
                <w:rFonts w:hint="eastAsia" w:ascii="宋体" w:hAnsi="宋体" w:eastAsia="宋体" w:cs="宋体"/>
                <w:szCs w:val="21"/>
              </w:rPr>
              <w:t>□视频会议：采用视频会议方式。</w:t>
            </w:r>
          </w:p>
          <w:p w14:paraId="344F18A9">
            <w:pPr>
              <w:keepLines/>
              <w:tabs>
                <w:tab w:val="left" w:pos="794"/>
                <w:tab w:val="left" w:pos="1191"/>
                <w:tab w:val="left" w:pos="1588"/>
                <w:tab w:val="left" w:pos="1985"/>
              </w:tabs>
              <w:autoSpaceDE w:val="0"/>
              <w:autoSpaceDN w:val="0"/>
              <w:adjustRightInd w:val="0"/>
              <w:rPr>
                <w:rFonts w:hint="eastAsia" w:ascii="宋体" w:hAnsi="宋体" w:eastAsia="宋体" w:cs="宋体"/>
                <w:szCs w:val="21"/>
              </w:rPr>
            </w:pPr>
            <w:r>
              <w:rPr>
                <w:rFonts w:hint="eastAsia" w:ascii="宋体" w:hAnsi="宋体" w:eastAsia="宋体" w:cs="宋体"/>
                <w:szCs w:val="21"/>
              </w:rPr>
              <w:t>本项目将采用远程谈判方式，请供应商授权代表和采购文件中要求的有关答辩代表（如有）到达视频会议，并携带身份证件和本采购文件要求的有关资格证明（如有）。</w:t>
            </w:r>
          </w:p>
          <w:p w14:paraId="5971DB91">
            <w:pPr>
              <w:keepLines/>
              <w:tabs>
                <w:tab w:val="left" w:pos="794"/>
                <w:tab w:val="left" w:pos="1191"/>
                <w:tab w:val="left" w:pos="1588"/>
                <w:tab w:val="left" w:pos="1985"/>
              </w:tabs>
              <w:autoSpaceDE w:val="0"/>
              <w:autoSpaceDN w:val="0"/>
              <w:adjustRightInd w:val="0"/>
              <w:rPr>
                <w:rFonts w:hint="eastAsia" w:ascii="宋体" w:hAnsi="宋体" w:eastAsia="宋体" w:cs="宋体"/>
                <w:szCs w:val="21"/>
              </w:rPr>
            </w:pPr>
            <w:r>
              <w:rPr>
                <w:rFonts w:hint="eastAsia" w:ascii="宋体" w:hAnsi="宋体" w:eastAsia="宋体" w:cs="宋体"/>
                <w:szCs w:val="21"/>
              </w:rPr>
              <w:t>请供应商提前下载并安装好远程会议客户端，调试好视频及音效设备。如因供应商设备、网络等原因而造成的视音频中断或延误给供应商谈判带来的负面影响，由供应商自行承担。</w:t>
            </w:r>
          </w:p>
          <w:p w14:paraId="00013128">
            <w:pPr>
              <w:keepLines/>
              <w:tabs>
                <w:tab w:val="left" w:pos="794"/>
                <w:tab w:val="left" w:pos="1191"/>
                <w:tab w:val="left" w:pos="1588"/>
                <w:tab w:val="left" w:pos="1985"/>
              </w:tabs>
              <w:autoSpaceDE w:val="0"/>
              <w:autoSpaceDN w:val="0"/>
              <w:adjustRightInd w:val="0"/>
              <w:rPr>
                <w:rFonts w:hint="eastAsia" w:ascii="宋体" w:hAnsi="宋体" w:eastAsia="宋体" w:cs="宋体"/>
                <w:szCs w:val="21"/>
              </w:rPr>
            </w:pPr>
            <w:r>
              <w:rPr>
                <w:rFonts w:hint="eastAsia" w:ascii="宋体" w:hAnsi="宋体" w:eastAsia="宋体" w:cs="宋体"/>
                <w:szCs w:val="21"/>
              </w:rPr>
              <w:t>供应商须根据本项目联系人谈判当天提供的会议邀请在规定时间内进入视频会议室，现场抽取谈判顺序。</w:t>
            </w:r>
          </w:p>
          <w:p w14:paraId="48C77916">
            <w:pPr>
              <w:keepLines/>
              <w:tabs>
                <w:tab w:val="left" w:pos="794"/>
                <w:tab w:val="left" w:pos="1191"/>
                <w:tab w:val="left" w:pos="1588"/>
                <w:tab w:val="left" w:pos="1985"/>
              </w:tabs>
              <w:autoSpaceDE w:val="0"/>
              <w:autoSpaceDN w:val="0"/>
              <w:adjustRightInd w:val="0"/>
              <w:rPr>
                <w:rFonts w:hint="eastAsia" w:ascii="宋体" w:hAnsi="宋体" w:eastAsia="宋体" w:cs="宋体"/>
                <w:szCs w:val="21"/>
              </w:rPr>
            </w:pPr>
            <w:r>
              <w:rPr>
                <w:rFonts w:hint="eastAsia" w:ascii="宋体" w:hAnsi="宋体" w:eastAsia="宋体" w:cs="宋体"/>
                <w:szCs w:val="21"/>
              </w:rPr>
              <w:t>供应商按抽取的顺序参与谈判，完成谈判的供应商自行离开会议室，其他供应商在视频软件的等候室等待。</w:t>
            </w:r>
          </w:p>
          <w:p w14:paraId="277D2B9E">
            <w:pPr>
              <w:keepLines/>
              <w:tabs>
                <w:tab w:val="left" w:pos="794"/>
                <w:tab w:val="left" w:pos="1191"/>
                <w:tab w:val="left" w:pos="1588"/>
                <w:tab w:val="left" w:pos="1985"/>
              </w:tabs>
              <w:autoSpaceDE w:val="0"/>
              <w:autoSpaceDN w:val="0"/>
              <w:adjustRightInd w:val="0"/>
              <w:rPr>
                <w:rFonts w:hint="eastAsia" w:ascii="宋体" w:hAnsi="宋体" w:eastAsia="宋体" w:cs="宋体"/>
                <w:szCs w:val="21"/>
              </w:rPr>
            </w:pPr>
            <w:r>
              <w:rPr>
                <w:rFonts w:hint="eastAsia" w:ascii="宋体" w:hAnsi="宋体" w:eastAsia="宋体" w:cs="宋体"/>
                <w:szCs w:val="21"/>
              </w:rPr>
              <w:t>供应商须按采购文件要求委派须参与的人员进入视频会议室。</w:t>
            </w:r>
          </w:p>
          <w:p w14:paraId="07FF1FF2">
            <w:pPr>
              <w:keepLines/>
              <w:tabs>
                <w:tab w:val="left" w:pos="794"/>
                <w:tab w:val="left" w:pos="1191"/>
                <w:tab w:val="left" w:pos="1588"/>
                <w:tab w:val="left" w:pos="1985"/>
              </w:tabs>
              <w:autoSpaceDE w:val="0"/>
              <w:autoSpaceDN w:val="0"/>
              <w:adjustRightInd w:val="0"/>
              <w:rPr>
                <w:rFonts w:hint="eastAsia" w:ascii="宋体" w:hAnsi="宋体" w:eastAsia="宋体" w:cs="宋体"/>
                <w:szCs w:val="21"/>
              </w:rPr>
            </w:pPr>
            <w:r>
              <w:rPr>
                <w:rFonts w:hint="eastAsia" w:ascii="宋体" w:hAnsi="宋体" w:eastAsia="宋体" w:cs="宋体"/>
                <w:szCs w:val="21"/>
              </w:rPr>
              <w:t>谈判后，供应商按谈判时本项目评审委员会的要求提交最终报价和承诺，并在规定时间内提交至采购人联系信箱：zhangshaochen@jscnnet.com，授权代表须在最终报价和承诺书上签字，格式见附件。</w:t>
            </w:r>
          </w:p>
          <w:p w14:paraId="61794EB2">
            <w:pPr>
              <w:pStyle w:val="6"/>
              <w:rPr>
                <w:rFonts w:hint="eastAsia" w:ascii="宋体" w:hAnsi="宋体" w:eastAsia="宋体" w:cs="宋体"/>
              </w:rPr>
            </w:pPr>
            <w:r>
              <w:rPr>
                <w:rFonts w:hint="eastAsia" w:ascii="宋体" w:hAnsi="宋体" w:eastAsia="宋体" w:cs="宋体"/>
                <w:sz w:val="21"/>
                <w:szCs w:val="21"/>
              </w:rPr>
              <w:t>供应商须在响应文件中提交远程采购须知确认函，并按要求盖章且签字。</w:t>
            </w:r>
          </w:p>
        </w:tc>
      </w:tr>
      <w:tr w14:paraId="1A448FF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1F4551C3">
            <w:pPr>
              <w:jc w:val="center"/>
              <w:rPr>
                <w:rFonts w:hint="eastAsia" w:ascii="宋体" w:hAnsi="宋体" w:eastAsia="宋体" w:cs="宋体"/>
              </w:rPr>
            </w:pPr>
            <w:r>
              <w:rPr>
                <w:rFonts w:ascii="宋体" w:hAnsi="宋体" w:eastAsia="宋体" w:cs="宋体"/>
              </w:rPr>
              <w:t>11</w:t>
            </w:r>
          </w:p>
        </w:tc>
        <w:tc>
          <w:tcPr>
            <w:tcW w:w="885" w:type="pct"/>
            <w:vAlign w:val="center"/>
          </w:tcPr>
          <w:p w14:paraId="415E6681">
            <w:pPr>
              <w:jc w:val="center"/>
              <w:rPr>
                <w:rFonts w:hint="eastAsia" w:ascii="宋体" w:hAnsi="宋体" w:eastAsia="宋体" w:cs="宋体"/>
              </w:rPr>
            </w:pPr>
            <w:r>
              <w:rPr>
                <w:rFonts w:hint="eastAsia" w:ascii="宋体" w:hAnsi="宋体" w:eastAsia="宋体" w:cs="宋体"/>
              </w:rPr>
              <w:t>响应文件被否决事项（即取消响应资格）</w:t>
            </w:r>
          </w:p>
        </w:tc>
        <w:tc>
          <w:tcPr>
            <w:tcW w:w="3781" w:type="pct"/>
            <w:vAlign w:val="center"/>
          </w:tcPr>
          <w:p w14:paraId="5D8F3356">
            <w:pPr>
              <w:autoSpaceDE w:val="0"/>
              <w:autoSpaceDN w:val="0"/>
              <w:rPr>
                <w:rFonts w:hint="eastAsia" w:ascii="宋体" w:hAnsi="宋体" w:eastAsia="宋体" w:cs="宋体"/>
              </w:rPr>
            </w:pPr>
            <w:r>
              <w:rPr>
                <w:rFonts w:hint="eastAsia" w:ascii="宋体" w:hAnsi="宋体" w:eastAsia="宋体" w:cs="宋体"/>
              </w:rPr>
              <w:t>1）不满足竞争性谈判文件对合格供应商的基本资质要求的；</w:t>
            </w:r>
          </w:p>
          <w:p w14:paraId="59B1473A">
            <w:pPr>
              <w:autoSpaceDE w:val="0"/>
              <w:autoSpaceDN w:val="0"/>
              <w:rPr>
                <w:rFonts w:hint="eastAsia" w:ascii="宋体" w:hAnsi="宋体" w:eastAsia="宋体" w:cs="宋体"/>
              </w:rPr>
            </w:pPr>
            <w:r>
              <w:rPr>
                <w:rFonts w:hint="eastAsia" w:ascii="宋体" w:hAnsi="宋体" w:eastAsia="宋体" w:cs="宋体"/>
              </w:rPr>
              <w:t>2）供应商在响应文件中提供的服务内容及质量不能实质性满足竞争性谈判文件要求或不能提供实质性满足证明的；</w:t>
            </w:r>
          </w:p>
          <w:p w14:paraId="010665E0">
            <w:pPr>
              <w:autoSpaceDE w:val="0"/>
              <w:autoSpaceDN w:val="0"/>
              <w:rPr>
                <w:rFonts w:hint="eastAsia" w:ascii="宋体" w:hAnsi="宋体" w:eastAsia="宋体" w:cs="宋体"/>
              </w:rPr>
            </w:pPr>
            <w:r>
              <w:rPr>
                <w:rFonts w:hint="eastAsia" w:ascii="宋体" w:hAnsi="宋体" w:eastAsia="宋体" w:cs="宋体"/>
              </w:rPr>
              <w:t>3）报名确认函不按照第四章的格式提供的；</w:t>
            </w:r>
          </w:p>
          <w:p w14:paraId="6D7EE1C4">
            <w:pPr>
              <w:autoSpaceDE w:val="0"/>
              <w:autoSpaceDN w:val="0"/>
              <w:rPr>
                <w:rFonts w:hint="eastAsia" w:ascii="宋体" w:hAnsi="宋体" w:eastAsia="宋体" w:cs="宋体"/>
              </w:rPr>
            </w:pPr>
            <w:r>
              <w:rPr>
                <w:rFonts w:hint="eastAsia" w:ascii="宋体" w:hAnsi="宋体" w:eastAsia="宋体" w:cs="宋体"/>
              </w:rPr>
              <w:t>4）资格证明文件不全、失效或不符合竞争性谈判文件要求的；</w:t>
            </w:r>
          </w:p>
          <w:p w14:paraId="37A82087">
            <w:pPr>
              <w:autoSpaceDE w:val="0"/>
              <w:autoSpaceDN w:val="0"/>
              <w:rPr>
                <w:rFonts w:hint="eastAsia" w:ascii="宋体" w:hAnsi="宋体" w:eastAsia="宋体" w:cs="宋体"/>
              </w:rPr>
            </w:pPr>
            <w:r>
              <w:rPr>
                <w:rFonts w:hint="eastAsia" w:ascii="宋体" w:hAnsi="宋体" w:eastAsia="宋体" w:cs="宋体"/>
              </w:rPr>
              <w:t>5）响应文件无法定代表人签字，或签字人无法定代表人有效授权的；</w:t>
            </w:r>
          </w:p>
          <w:p w14:paraId="47F4B7E1">
            <w:pPr>
              <w:autoSpaceDE w:val="0"/>
              <w:autoSpaceDN w:val="0"/>
              <w:rPr>
                <w:rFonts w:hint="eastAsia" w:ascii="宋体" w:hAnsi="宋体" w:eastAsia="宋体" w:cs="宋体"/>
              </w:rPr>
            </w:pPr>
            <w:r>
              <w:rPr>
                <w:rFonts w:hint="eastAsia" w:ascii="宋体" w:hAnsi="宋体" w:eastAsia="宋体" w:cs="宋体"/>
              </w:rPr>
              <w:t>6）响应文件或响应有效期不足的；</w:t>
            </w:r>
          </w:p>
          <w:p w14:paraId="123F0E9A">
            <w:pPr>
              <w:autoSpaceDE w:val="0"/>
              <w:autoSpaceDN w:val="0"/>
              <w:rPr>
                <w:rFonts w:hint="eastAsia" w:ascii="宋体" w:hAnsi="宋体" w:eastAsia="宋体" w:cs="宋体"/>
              </w:rPr>
            </w:pPr>
            <w:r>
              <w:rPr>
                <w:rFonts w:hint="eastAsia" w:ascii="宋体" w:hAnsi="宋体" w:eastAsia="宋体" w:cs="宋体"/>
              </w:rPr>
              <w:t>7）响应文件中提供虚假或失实资料的；</w:t>
            </w:r>
          </w:p>
          <w:p w14:paraId="181FF7F3">
            <w:pPr>
              <w:autoSpaceDE w:val="0"/>
              <w:autoSpaceDN w:val="0"/>
              <w:rPr>
                <w:rFonts w:hint="eastAsia" w:ascii="宋体" w:hAnsi="宋体" w:eastAsia="宋体" w:cs="宋体"/>
              </w:rPr>
            </w:pPr>
            <w:r>
              <w:rPr>
                <w:rFonts w:hint="eastAsia" w:ascii="宋体" w:hAnsi="宋体" w:eastAsia="宋体" w:cs="宋体"/>
              </w:rPr>
              <w:t>8）未按照竞争性谈判文件规定的方式领取竞争性谈判文件并按要求递交响应文件的；</w:t>
            </w:r>
          </w:p>
          <w:p w14:paraId="1D77DC21">
            <w:pPr>
              <w:autoSpaceDE w:val="0"/>
              <w:autoSpaceDN w:val="0"/>
              <w:rPr>
                <w:rFonts w:hint="eastAsia" w:ascii="宋体" w:hAnsi="宋体" w:eastAsia="宋体" w:cs="宋体"/>
                <w:szCs w:val="21"/>
              </w:rPr>
            </w:pPr>
            <w:r>
              <w:rPr>
                <w:rFonts w:hint="eastAsia" w:ascii="宋体" w:hAnsi="宋体" w:eastAsia="宋体" w:cs="宋体"/>
              </w:rPr>
              <w:t>9）评审委员会认为不能实质上满足竞争性谈判文件其它要求的。</w:t>
            </w:r>
          </w:p>
        </w:tc>
      </w:tr>
      <w:tr w14:paraId="778ECA0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34" w:type="pct"/>
            <w:vAlign w:val="center"/>
          </w:tcPr>
          <w:p w14:paraId="5353D67D">
            <w:pPr>
              <w:jc w:val="center"/>
              <w:rPr>
                <w:rFonts w:hint="eastAsia" w:ascii="宋体" w:hAnsi="宋体" w:eastAsia="宋体" w:cs="宋体"/>
              </w:rPr>
            </w:pPr>
            <w:r>
              <w:rPr>
                <w:rFonts w:ascii="宋体" w:hAnsi="宋体" w:eastAsia="宋体" w:cs="宋体"/>
              </w:rPr>
              <w:t>12</w:t>
            </w:r>
          </w:p>
        </w:tc>
        <w:tc>
          <w:tcPr>
            <w:tcW w:w="885" w:type="pct"/>
            <w:vAlign w:val="center"/>
          </w:tcPr>
          <w:p w14:paraId="5258587E">
            <w:pPr>
              <w:jc w:val="center"/>
              <w:rPr>
                <w:rFonts w:hint="eastAsia" w:ascii="宋体" w:hAnsi="宋体" w:eastAsia="宋体" w:cs="宋体"/>
              </w:rPr>
            </w:pPr>
            <w:r>
              <w:rPr>
                <w:rFonts w:hint="eastAsia" w:ascii="宋体" w:hAnsi="宋体" w:eastAsia="宋体" w:cs="宋体"/>
              </w:rPr>
              <w:t>签约</w:t>
            </w:r>
          </w:p>
        </w:tc>
        <w:tc>
          <w:tcPr>
            <w:tcW w:w="3781" w:type="pct"/>
            <w:vAlign w:val="center"/>
          </w:tcPr>
          <w:p w14:paraId="2247C6DF">
            <w:pPr>
              <w:rPr>
                <w:rFonts w:hint="eastAsia" w:ascii="宋体" w:hAnsi="宋体" w:eastAsia="宋体" w:cs="宋体"/>
              </w:rPr>
            </w:pPr>
            <w:r>
              <w:rPr>
                <w:rFonts w:ascii="宋体" w:hAnsi="宋体" w:eastAsia="宋体" w:cs="宋体"/>
                <w:szCs w:val="21"/>
              </w:rPr>
              <w:fldChar w:fldCharType="begin"/>
            </w:r>
            <w:r>
              <w:rPr>
                <w:rFonts w:hint="eastAsia" w:ascii="宋体" w:hAnsi="宋体" w:eastAsia="宋体" w:cs="宋体"/>
                <w:szCs w:val="21"/>
              </w:rPr>
              <w:instrText xml:space="preserve"> eq \o\ac(□,√)</w:instrText>
            </w:r>
            <w:r>
              <w:rPr>
                <w:rFonts w:ascii="宋体" w:hAnsi="宋体" w:eastAsia="宋体" w:cs="宋体"/>
                <w:szCs w:val="21"/>
              </w:rPr>
              <w:fldChar w:fldCharType="end"/>
            </w:r>
            <w:r>
              <w:rPr>
                <w:rFonts w:hint="eastAsia" w:ascii="宋体" w:hAnsi="宋体" w:eastAsia="宋体" w:cs="宋体"/>
              </w:rPr>
              <w:t>采购人与本次成交单位按本采购文件第四章合同格式签订合同。</w:t>
            </w:r>
          </w:p>
          <w:p w14:paraId="36A51E79">
            <w:pPr>
              <w:rPr>
                <w:rFonts w:hint="eastAsia" w:ascii="宋体" w:hAnsi="宋体" w:eastAsia="宋体" w:cs="宋体"/>
              </w:rPr>
            </w:pPr>
            <w:r>
              <w:rPr>
                <w:rFonts w:hint="eastAsia" w:ascii="宋体" w:hAnsi="宋体" w:eastAsia="宋体" w:cs="宋体"/>
                <w:szCs w:val="21"/>
              </w:rPr>
              <w:t>□本</w:t>
            </w:r>
            <w:r>
              <w:rPr>
                <w:rFonts w:hint="eastAsia" w:ascii="宋体" w:hAnsi="宋体" w:eastAsia="宋体" w:cs="宋体"/>
              </w:rPr>
              <w:t>采购人与本次成交单位根据本次谈判结果另行签订合同。</w:t>
            </w:r>
          </w:p>
        </w:tc>
      </w:tr>
    </w:tbl>
    <w:p w14:paraId="0DCE19FE">
      <w:pPr>
        <w:ind w:firstLine="420" w:firstLineChars="200"/>
        <w:rPr>
          <w:rFonts w:ascii="Times New Roman" w:hAnsi="Times New Roman" w:cs="Times New Roman"/>
          <w:szCs w:val="21"/>
        </w:rPr>
      </w:pPr>
      <w:r>
        <w:rPr>
          <w:rFonts w:ascii="Times New Roman" w:hAnsi="Times New Roman" w:cs="Times New Roman"/>
          <w:szCs w:val="21"/>
        </w:rPr>
        <w:t>本表关于要采购的货物及/或服务的具体资料是对投标人须知的具体补充和修改，如有矛盾，以本前附表为准。</w:t>
      </w:r>
    </w:p>
    <w:p w14:paraId="0806269C">
      <w:pPr>
        <w:pStyle w:val="25"/>
        <w:rPr>
          <w:rFonts w:ascii="Times New Roman" w:eastAsiaTheme="minorEastAsia"/>
          <w:kern w:val="2"/>
          <w:sz w:val="21"/>
          <w:szCs w:val="21"/>
        </w:rPr>
      </w:pPr>
    </w:p>
    <w:p w14:paraId="7794DA2D">
      <w:pPr>
        <w:pStyle w:val="25"/>
        <w:ind w:firstLine="560"/>
      </w:pPr>
    </w:p>
    <w:p w14:paraId="4CB53598">
      <w:pPr>
        <w:pStyle w:val="25"/>
        <w:ind w:firstLine="560"/>
      </w:pPr>
    </w:p>
    <w:p w14:paraId="43E169BA">
      <w:pPr>
        <w:keepNext/>
        <w:keepLines/>
        <w:spacing w:before="312" w:beforeLines="100" w:after="312" w:afterLines="100" w:line="360" w:lineRule="auto"/>
        <w:jc w:val="center"/>
        <w:outlineLvl w:val="0"/>
        <w:rPr>
          <w:rFonts w:ascii="Times New Roman" w:hAnsi="Times New Roman" w:eastAsia="黑体" w:cs="Times New Roman"/>
          <w:kern w:val="44"/>
          <w:sz w:val="36"/>
          <w:szCs w:val="36"/>
          <w:u w:color="000000"/>
          <w:lang w:val="zh-TW"/>
        </w:rPr>
      </w:pPr>
      <w:bookmarkStart w:id="9" w:name="_Toc194067112"/>
      <w:r>
        <w:rPr>
          <w:rFonts w:ascii="Times New Roman" w:hAnsi="Times New Roman" w:eastAsia="黑体" w:cs="Times New Roman"/>
          <w:kern w:val="44"/>
          <w:sz w:val="36"/>
          <w:szCs w:val="36"/>
          <w:u w:color="000000"/>
          <w:lang w:val="zh-TW" w:eastAsia="zh-TW"/>
        </w:rPr>
        <w:t>第</w:t>
      </w:r>
      <w:r>
        <w:rPr>
          <w:rFonts w:ascii="Times New Roman" w:hAnsi="Times New Roman" w:eastAsia="黑体" w:cs="Times New Roman"/>
          <w:kern w:val="44"/>
          <w:sz w:val="36"/>
          <w:szCs w:val="36"/>
          <w:u w:color="000000"/>
          <w:lang w:val="zh-TW"/>
        </w:rPr>
        <w:t>三</w:t>
      </w:r>
      <w:r>
        <w:rPr>
          <w:rFonts w:ascii="Times New Roman" w:hAnsi="Times New Roman" w:eastAsia="黑体" w:cs="Times New Roman"/>
          <w:kern w:val="44"/>
          <w:sz w:val="36"/>
          <w:szCs w:val="36"/>
          <w:u w:color="000000"/>
          <w:lang w:val="zh-TW" w:eastAsia="zh-TW"/>
        </w:rPr>
        <w:t xml:space="preserve">章  </w:t>
      </w:r>
      <w:r>
        <w:rPr>
          <w:rFonts w:hint="eastAsia" w:ascii="Times New Roman" w:hAnsi="Times New Roman" w:eastAsia="黑体" w:cs="Times New Roman"/>
          <w:kern w:val="44"/>
          <w:sz w:val="36"/>
          <w:szCs w:val="36"/>
          <w:u w:color="000000"/>
          <w:lang w:val="zh-TW"/>
        </w:rPr>
        <w:t>评审</w:t>
      </w:r>
      <w:r>
        <w:rPr>
          <w:rFonts w:ascii="Times New Roman" w:hAnsi="Times New Roman" w:eastAsia="黑体" w:cs="Times New Roman"/>
          <w:kern w:val="44"/>
          <w:sz w:val="36"/>
          <w:szCs w:val="36"/>
          <w:u w:color="000000"/>
          <w:lang w:val="zh-TW"/>
        </w:rPr>
        <w:t>办法</w:t>
      </w:r>
      <w:bookmarkEnd w:id="9"/>
    </w:p>
    <w:tbl>
      <w:tblPr>
        <w:tblStyle w:val="26"/>
        <w:tblW w:w="10322" w:type="dxa"/>
        <w:tblInd w:w="-8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1075"/>
        <w:gridCol w:w="2409"/>
        <w:gridCol w:w="5919"/>
      </w:tblGrid>
      <w:tr w14:paraId="1401A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94" w:type="dxa"/>
            <w:gridSpan w:val="2"/>
            <w:tcBorders>
              <w:top w:val="single" w:color="auto" w:sz="4" w:space="0"/>
              <w:bottom w:val="single" w:color="auto" w:sz="4" w:space="0"/>
              <w:right w:val="single" w:color="auto" w:sz="4" w:space="0"/>
            </w:tcBorders>
            <w:vAlign w:val="center"/>
          </w:tcPr>
          <w:p w14:paraId="7B84ABFF">
            <w:pPr>
              <w:jc w:val="center"/>
              <w:rPr>
                <w:rFonts w:ascii="方正黑体_GBK" w:eastAsia="方正黑体_GBK"/>
                <w:b/>
                <w:szCs w:val="21"/>
              </w:rPr>
            </w:pPr>
            <w:r>
              <w:rPr>
                <w:rFonts w:hint="eastAsia" w:ascii="方正黑体_GBK" w:eastAsia="方正黑体_GBK"/>
                <w:b/>
                <w:szCs w:val="21"/>
              </w:rPr>
              <w:t>条款号</w:t>
            </w:r>
          </w:p>
        </w:tc>
        <w:tc>
          <w:tcPr>
            <w:tcW w:w="2409" w:type="dxa"/>
            <w:tcBorders>
              <w:top w:val="single" w:color="auto" w:sz="4" w:space="0"/>
              <w:left w:val="single" w:color="auto" w:sz="4" w:space="0"/>
              <w:bottom w:val="single" w:color="auto" w:sz="4" w:space="0"/>
              <w:right w:val="single" w:color="auto" w:sz="4" w:space="0"/>
            </w:tcBorders>
            <w:vAlign w:val="center"/>
          </w:tcPr>
          <w:p w14:paraId="2BC760B5">
            <w:pPr>
              <w:jc w:val="center"/>
              <w:rPr>
                <w:rFonts w:ascii="方正黑体_GBK" w:eastAsia="方正黑体_GBK"/>
                <w:b/>
                <w:szCs w:val="21"/>
              </w:rPr>
            </w:pPr>
            <w:r>
              <w:rPr>
                <w:rFonts w:hint="eastAsia" w:ascii="方正黑体_GBK" w:eastAsia="方正黑体_GBK"/>
                <w:b/>
                <w:szCs w:val="21"/>
              </w:rPr>
              <w:t>评审因素</w:t>
            </w:r>
          </w:p>
        </w:tc>
        <w:tc>
          <w:tcPr>
            <w:tcW w:w="5919" w:type="dxa"/>
            <w:tcBorders>
              <w:top w:val="single" w:color="auto" w:sz="4" w:space="0"/>
              <w:left w:val="single" w:color="auto" w:sz="4" w:space="0"/>
              <w:bottom w:val="single" w:color="auto" w:sz="4" w:space="0"/>
              <w:right w:val="single" w:color="auto" w:sz="4" w:space="0"/>
            </w:tcBorders>
            <w:vAlign w:val="center"/>
          </w:tcPr>
          <w:p w14:paraId="1AD5B807">
            <w:pPr>
              <w:jc w:val="center"/>
              <w:rPr>
                <w:rFonts w:ascii="方正黑体_GBK" w:eastAsia="方正黑体_GBK"/>
                <w:b/>
                <w:szCs w:val="21"/>
              </w:rPr>
            </w:pPr>
            <w:r>
              <w:rPr>
                <w:rFonts w:hint="eastAsia" w:ascii="方正黑体_GBK" w:eastAsia="方正黑体_GBK"/>
                <w:b/>
                <w:szCs w:val="21"/>
              </w:rPr>
              <w:t>评审标准</w:t>
            </w:r>
          </w:p>
        </w:tc>
      </w:tr>
      <w:tr w14:paraId="53288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9" w:type="dxa"/>
            <w:vMerge w:val="restart"/>
            <w:tcBorders>
              <w:top w:val="single" w:color="auto" w:sz="4" w:space="0"/>
              <w:bottom w:val="single" w:color="auto" w:sz="4" w:space="0"/>
              <w:right w:val="single" w:color="auto" w:sz="4" w:space="0"/>
            </w:tcBorders>
            <w:vAlign w:val="center"/>
          </w:tcPr>
          <w:p w14:paraId="1E904E34">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2.1.1</w:t>
            </w:r>
          </w:p>
        </w:tc>
        <w:tc>
          <w:tcPr>
            <w:tcW w:w="1075" w:type="dxa"/>
            <w:vMerge w:val="restart"/>
            <w:tcBorders>
              <w:top w:val="single" w:color="auto" w:sz="4" w:space="0"/>
              <w:bottom w:val="single" w:color="auto" w:sz="4" w:space="0"/>
              <w:right w:val="single" w:color="auto" w:sz="4" w:space="0"/>
            </w:tcBorders>
            <w:vAlign w:val="center"/>
          </w:tcPr>
          <w:p w14:paraId="2114E0BB">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形式评审标准</w:t>
            </w:r>
          </w:p>
        </w:tc>
        <w:tc>
          <w:tcPr>
            <w:tcW w:w="2409" w:type="dxa"/>
            <w:tcBorders>
              <w:top w:val="single" w:color="auto" w:sz="4" w:space="0"/>
              <w:left w:val="single" w:color="auto" w:sz="4" w:space="0"/>
              <w:right w:val="single" w:color="auto" w:sz="4" w:space="0"/>
            </w:tcBorders>
            <w:vAlign w:val="center"/>
          </w:tcPr>
          <w:p w14:paraId="38FE367B">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响应文件签字盖章</w:t>
            </w:r>
          </w:p>
        </w:tc>
        <w:tc>
          <w:tcPr>
            <w:tcW w:w="5919" w:type="dxa"/>
            <w:tcBorders>
              <w:top w:val="single" w:color="auto" w:sz="4" w:space="0"/>
              <w:left w:val="single" w:color="auto" w:sz="4" w:space="0"/>
              <w:right w:val="single" w:color="auto" w:sz="4" w:space="0"/>
            </w:tcBorders>
            <w:vAlign w:val="center"/>
          </w:tcPr>
          <w:p w14:paraId="0B7CF0A4">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符合第二章“采购说明和要求”规定。</w:t>
            </w:r>
          </w:p>
        </w:tc>
      </w:tr>
      <w:tr w14:paraId="39E1C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19" w:type="dxa"/>
            <w:vMerge w:val="continue"/>
            <w:tcBorders>
              <w:top w:val="nil"/>
              <w:bottom w:val="single" w:color="auto" w:sz="4" w:space="0"/>
              <w:right w:val="single" w:color="auto" w:sz="4" w:space="0"/>
            </w:tcBorders>
            <w:vAlign w:val="center"/>
          </w:tcPr>
          <w:p w14:paraId="54325153">
            <w:pPr>
              <w:autoSpaceDE w:val="0"/>
              <w:autoSpaceDN w:val="0"/>
              <w:rPr>
                <w:rFonts w:hint="eastAsia" w:ascii="方正仿宋_GBK" w:hAnsi="宋体" w:eastAsia="方正仿宋_GBK" w:cs="宋体"/>
                <w:szCs w:val="21"/>
              </w:rPr>
            </w:pPr>
          </w:p>
        </w:tc>
        <w:tc>
          <w:tcPr>
            <w:tcW w:w="1075" w:type="dxa"/>
            <w:vMerge w:val="continue"/>
            <w:tcBorders>
              <w:top w:val="nil"/>
              <w:bottom w:val="single" w:color="auto" w:sz="4" w:space="0"/>
              <w:right w:val="single" w:color="auto" w:sz="4" w:space="0"/>
            </w:tcBorders>
            <w:vAlign w:val="center"/>
          </w:tcPr>
          <w:p w14:paraId="2966B798">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649DFEE9">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法定代表人授权委托书</w:t>
            </w:r>
          </w:p>
        </w:tc>
        <w:tc>
          <w:tcPr>
            <w:tcW w:w="5919" w:type="dxa"/>
            <w:tcBorders>
              <w:top w:val="single" w:color="auto" w:sz="4" w:space="0"/>
              <w:left w:val="single" w:color="auto" w:sz="4" w:space="0"/>
              <w:bottom w:val="single" w:color="auto" w:sz="4" w:space="0"/>
              <w:right w:val="single" w:color="auto" w:sz="4" w:space="0"/>
            </w:tcBorders>
            <w:vAlign w:val="center"/>
          </w:tcPr>
          <w:p w14:paraId="1C490F6E">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出具法定代表人授权书，法人代表签字和单位盖章。</w:t>
            </w:r>
          </w:p>
        </w:tc>
      </w:tr>
      <w:tr w14:paraId="453F5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19" w:type="dxa"/>
            <w:tcBorders>
              <w:top w:val="single" w:color="auto" w:sz="4" w:space="0"/>
              <w:bottom w:val="single" w:color="auto" w:sz="4" w:space="0"/>
              <w:right w:val="single" w:color="auto" w:sz="4" w:space="0"/>
            </w:tcBorders>
            <w:vAlign w:val="center"/>
          </w:tcPr>
          <w:p w14:paraId="2496A105">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2.1.2</w:t>
            </w:r>
          </w:p>
        </w:tc>
        <w:tc>
          <w:tcPr>
            <w:tcW w:w="1075" w:type="dxa"/>
            <w:tcBorders>
              <w:top w:val="single" w:color="auto" w:sz="4" w:space="0"/>
              <w:bottom w:val="single" w:color="auto" w:sz="4" w:space="0"/>
              <w:right w:val="single" w:color="auto" w:sz="4" w:space="0"/>
            </w:tcBorders>
            <w:vAlign w:val="center"/>
          </w:tcPr>
          <w:p w14:paraId="41ABFD68">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资格评审标准</w:t>
            </w:r>
          </w:p>
        </w:tc>
        <w:tc>
          <w:tcPr>
            <w:tcW w:w="2409" w:type="dxa"/>
            <w:tcBorders>
              <w:top w:val="single" w:color="auto" w:sz="4" w:space="0"/>
              <w:left w:val="single" w:color="auto" w:sz="4" w:space="0"/>
              <w:bottom w:val="single" w:color="auto" w:sz="4" w:space="0"/>
              <w:right w:val="single" w:color="auto" w:sz="4" w:space="0"/>
            </w:tcBorders>
            <w:vAlign w:val="center"/>
          </w:tcPr>
          <w:p w14:paraId="7E254848">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资格条件</w:t>
            </w:r>
          </w:p>
        </w:tc>
        <w:tc>
          <w:tcPr>
            <w:tcW w:w="5919" w:type="dxa"/>
            <w:tcBorders>
              <w:top w:val="single" w:color="auto" w:sz="4" w:space="0"/>
              <w:left w:val="single" w:color="auto" w:sz="4" w:space="0"/>
              <w:bottom w:val="single" w:color="auto" w:sz="4" w:space="0"/>
              <w:right w:val="single" w:color="auto" w:sz="4" w:space="0"/>
            </w:tcBorders>
            <w:vAlign w:val="center"/>
          </w:tcPr>
          <w:p w14:paraId="7752F9A0">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满足第一章采购邀请函中资格条件的要求。</w:t>
            </w:r>
          </w:p>
        </w:tc>
      </w:tr>
      <w:tr w14:paraId="1B211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19" w:type="dxa"/>
            <w:vMerge w:val="restart"/>
            <w:tcBorders>
              <w:top w:val="single" w:color="auto" w:sz="4" w:space="0"/>
              <w:right w:val="single" w:color="auto" w:sz="4" w:space="0"/>
            </w:tcBorders>
            <w:vAlign w:val="center"/>
          </w:tcPr>
          <w:p w14:paraId="2A34E294">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2.1.3</w:t>
            </w:r>
          </w:p>
        </w:tc>
        <w:tc>
          <w:tcPr>
            <w:tcW w:w="1075" w:type="dxa"/>
            <w:vMerge w:val="restart"/>
            <w:tcBorders>
              <w:top w:val="single" w:color="auto" w:sz="4" w:space="0"/>
              <w:right w:val="single" w:color="auto" w:sz="4" w:space="0"/>
            </w:tcBorders>
            <w:vAlign w:val="center"/>
          </w:tcPr>
          <w:p w14:paraId="49E51AF0">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响应性评审标准</w:t>
            </w:r>
          </w:p>
        </w:tc>
        <w:tc>
          <w:tcPr>
            <w:tcW w:w="2409" w:type="dxa"/>
            <w:tcBorders>
              <w:top w:val="single" w:color="auto" w:sz="4" w:space="0"/>
              <w:left w:val="single" w:color="auto" w:sz="4" w:space="0"/>
              <w:bottom w:val="single" w:color="auto" w:sz="4" w:space="0"/>
              <w:right w:val="single" w:color="auto" w:sz="4" w:space="0"/>
            </w:tcBorders>
            <w:vAlign w:val="center"/>
          </w:tcPr>
          <w:p w14:paraId="7547347D">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响应内容</w:t>
            </w:r>
          </w:p>
        </w:tc>
        <w:tc>
          <w:tcPr>
            <w:tcW w:w="5919" w:type="dxa"/>
            <w:tcBorders>
              <w:top w:val="single" w:color="auto" w:sz="4" w:space="0"/>
              <w:left w:val="single" w:color="auto" w:sz="4" w:space="0"/>
              <w:bottom w:val="single" w:color="auto" w:sz="4" w:space="0"/>
              <w:right w:val="single" w:color="auto" w:sz="4" w:space="0"/>
            </w:tcBorders>
            <w:vAlign w:val="center"/>
          </w:tcPr>
          <w:p w14:paraId="47B58E4E">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符合竞争性谈判文件要求。</w:t>
            </w:r>
          </w:p>
        </w:tc>
      </w:tr>
      <w:tr w14:paraId="3716C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19" w:type="dxa"/>
            <w:vMerge w:val="continue"/>
            <w:tcBorders>
              <w:right w:val="single" w:color="auto" w:sz="4" w:space="0"/>
            </w:tcBorders>
            <w:vAlign w:val="center"/>
          </w:tcPr>
          <w:p w14:paraId="5FDF3B66">
            <w:pPr>
              <w:autoSpaceDE w:val="0"/>
              <w:autoSpaceDN w:val="0"/>
              <w:rPr>
                <w:rFonts w:hint="eastAsia" w:ascii="方正仿宋_GBK" w:hAnsi="宋体" w:eastAsia="方正仿宋_GBK" w:cs="宋体"/>
                <w:szCs w:val="21"/>
              </w:rPr>
            </w:pPr>
          </w:p>
        </w:tc>
        <w:tc>
          <w:tcPr>
            <w:tcW w:w="1075" w:type="dxa"/>
            <w:vMerge w:val="continue"/>
            <w:tcBorders>
              <w:right w:val="single" w:color="auto" w:sz="4" w:space="0"/>
            </w:tcBorders>
            <w:vAlign w:val="center"/>
          </w:tcPr>
          <w:p w14:paraId="11F6A2D5">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3DD172A3">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报价唯一且有效</w:t>
            </w:r>
          </w:p>
        </w:tc>
        <w:tc>
          <w:tcPr>
            <w:tcW w:w="5919" w:type="dxa"/>
            <w:tcBorders>
              <w:top w:val="single" w:color="auto" w:sz="4" w:space="0"/>
              <w:left w:val="single" w:color="auto" w:sz="4" w:space="0"/>
              <w:bottom w:val="single" w:color="auto" w:sz="4" w:space="0"/>
              <w:right w:val="single" w:color="auto" w:sz="4" w:space="0"/>
            </w:tcBorders>
            <w:vAlign w:val="center"/>
          </w:tcPr>
          <w:p w14:paraId="2727A5F7">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报价唯一，符合竞争性谈判文件中“报价表”规定。</w:t>
            </w:r>
          </w:p>
        </w:tc>
      </w:tr>
      <w:tr w14:paraId="3C8D6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919" w:type="dxa"/>
            <w:vMerge w:val="continue"/>
            <w:tcBorders>
              <w:right w:val="single" w:color="auto" w:sz="4" w:space="0"/>
            </w:tcBorders>
            <w:vAlign w:val="center"/>
          </w:tcPr>
          <w:p w14:paraId="0072AF0D">
            <w:pPr>
              <w:autoSpaceDE w:val="0"/>
              <w:autoSpaceDN w:val="0"/>
              <w:rPr>
                <w:rFonts w:hint="eastAsia" w:ascii="方正仿宋_GBK" w:hAnsi="宋体" w:eastAsia="方正仿宋_GBK" w:cs="宋体"/>
                <w:szCs w:val="21"/>
              </w:rPr>
            </w:pPr>
          </w:p>
        </w:tc>
        <w:tc>
          <w:tcPr>
            <w:tcW w:w="1075" w:type="dxa"/>
            <w:vMerge w:val="continue"/>
            <w:tcBorders>
              <w:right w:val="single" w:color="auto" w:sz="4" w:space="0"/>
            </w:tcBorders>
            <w:vAlign w:val="center"/>
          </w:tcPr>
          <w:p w14:paraId="4AB242DD">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33BBFA85">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响应有效期</w:t>
            </w:r>
          </w:p>
        </w:tc>
        <w:tc>
          <w:tcPr>
            <w:tcW w:w="5919" w:type="dxa"/>
            <w:tcBorders>
              <w:top w:val="single" w:color="auto" w:sz="4" w:space="0"/>
              <w:left w:val="single" w:color="auto" w:sz="4" w:space="0"/>
              <w:bottom w:val="single" w:color="auto" w:sz="4" w:space="0"/>
              <w:right w:val="single" w:color="auto" w:sz="4" w:space="0"/>
            </w:tcBorders>
            <w:vAlign w:val="center"/>
          </w:tcPr>
          <w:p w14:paraId="4D868447">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符合第二章“采购说明和要求”规定。</w:t>
            </w:r>
          </w:p>
        </w:tc>
      </w:tr>
      <w:tr w14:paraId="2E556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19" w:type="dxa"/>
            <w:vMerge w:val="continue"/>
            <w:tcBorders>
              <w:right w:val="single" w:color="auto" w:sz="4" w:space="0"/>
            </w:tcBorders>
            <w:vAlign w:val="center"/>
          </w:tcPr>
          <w:p w14:paraId="17DA5636">
            <w:pPr>
              <w:autoSpaceDE w:val="0"/>
              <w:autoSpaceDN w:val="0"/>
              <w:rPr>
                <w:rFonts w:hint="eastAsia" w:ascii="方正仿宋_GBK" w:hAnsi="宋体" w:eastAsia="方正仿宋_GBK" w:cs="宋体"/>
                <w:szCs w:val="21"/>
              </w:rPr>
            </w:pPr>
          </w:p>
        </w:tc>
        <w:tc>
          <w:tcPr>
            <w:tcW w:w="1075" w:type="dxa"/>
            <w:vMerge w:val="continue"/>
            <w:tcBorders>
              <w:right w:val="single" w:color="auto" w:sz="4" w:space="0"/>
            </w:tcBorders>
            <w:vAlign w:val="center"/>
          </w:tcPr>
          <w:p w14:paraId="2E2A032D">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1CC8999C">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技术标准和要求</w:t>
            </w:r>
          </w:p>
        </w:tc>
        <w:tc>
          <w:tcPr>
            <w:tcW w:w="5919" w:type="dxa"/>
            <w:tcBorders>
              <w:top w:val="single" w:color="auto" w:sz="4" w:space="0"/>
              <w:left w:val="single" w:color="auto" w:sz="4" w:space="0"/>
              <w:bottom w:val="single" w:color="auto" w:sz="4" w:space="0"/>
              <w:right w:val="single" w:color="auto" w:sz="4" w:space="0"/>
            </w:tcBorders>
            <w:vAlign w:val="center"/>
          </w:tcPr>
          <w:p w14:paraId="56B9BB5B">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符合竞争性谈判文件 “技术需求书”的规定。</w:t>
            </w:r>
          </w:p>
        </w:tc>
      </w:tr>
      <w:tr w14:paraId="7AD3D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19" w:type="dxa"/>
            <w:vMerge w:val="continue"/>
            <w:tcBorders>
              <w:bottom w:val="single" w:color="auto" w:sz="4" w:space="0"/>
              <w:right w:val="single" w:color="auto" w:sz="4" w:space="0"/>
            </w:tcBorders>
            <w:vAlign w:val="center"/>
          </w:tcPr>
          <w:p w14:paraId="1DABED25">
            <w:pPr>
              <w:autoSpaceDE w:val="0"/>
              <w:autoSpaceDN w:val="0"/>
              <w:rPr>
                <w:rFonts w:hint="eastAsia" w:ascii="方正仿宋_GBK" w:hAnsi="宋体" w:eastAsia="方正仿宋_GBK" w:cs="宋体"/>
                <w:szCs w:val="21"/>
              </w:rPr>
            </w:pPr>
          </w:p>
        </w:tc>
        <w:tc>
          <w:tcPr>
            <w:tcW w:w="1075" w:type="dxa"/>
            <w:vMerge w:val="continue"/>
            <w:tcBorders>
              <w:bottom w:val="single" w:color="auto" w:sz="4" w:space="0"/>
              <w:right w:val="single" w:color="auto" w:sz="4" w:space="0"/>
            </w:tcBorders>
            <w:vAlign w:val="center"/>
          </w:tcPr>
          <w:p w14:paraId="67B55A9D">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33621F63">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实质性响应</w:t>
            </w:r>
          </w:p>
        </w:tc>
        <w:tc>
          <w:tcPr>
            <w:tcW w:w="5919" w:type="dxa"/>
            <w:tcBorders>
              <w:top w:val="single" w:color="auto" w:sz="4" w:space="0"/>
              <w:left w:val="single" w:color="auto" w:sz="4" w:space="0"/>
              <w:bottom w:val="single" w:color="auto" w:sz="4" w:space="0"/>
              <w:right w:val="single" w:color="auto" w:sz="4" w:space="0"/>
            </w:tcBorders>
            <w:vAlign w:val="center"/>
          </w:tcPr>
          <w:p w14:paraId="565AF773">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文件对竞争性谈判文件进行了实质性响应，按竞争性谈判文件规定提交了合同条款偏离表、技术需求偏离表。如对竞争性谈判文件中加“★”、特别说明的不可负偏离条款或其他实质性内容有负偏离的，将导致响应被否决。</w:t>
            </w:r>
          </w:p>
        </w:tc>
      </w:tr>
      <w:tr w14:paraId="66ECA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94" w:type="dxa"/>
            <w:gridSpan w:val="2"/>
            <w:tcBorders>
              <w:top w:val="single" w:color="auto" w:sz="4" w:space="0"/>
              <w:bottom w:val="single" w:color="auto" w:sz="4" w:space="0"/>
              <w:right w:val="single" w:color="auto" w:sz="4" w:space="0"/>
            </w:tcBorders>
            <w:vAlign w:val="center"/>
          </w:tcPr>
          <w:p w14:paraId="2B3EEBD7">
            <w:pPr>
              <w:jc w:val="center"/>
              <w:rPr>
                <w:rFonts w:ascii="方正黑体_GBK" w:eastAsia="方正黑体_GBK"/>
                <w:b/>
                <w:szCs w:val="21"/>
              </w:rPr>
            </w:pPr>
            <w:r>
              <w:rPr>
                <w:rFonts w:hint="eastAsia" w:ascii="方正黑体_GBK" w:eastAsia="方正黑体_GBK"/>
                <w:b/>
                <w:szCs w:val="21"/>
              </w:rPr>
              <w:t>条款号</w:t>
            </w:r>
          </w:p>
        </w:tc>
        <w:tc>
          <w:tcPr>
            <w:tcW w:w="2409" w:type="dxa"/>
            <w:tcBorders>
              <w:top w:val="single" w:color="auto" w:sz="4" w:space="0"/>
              <w:left w:val="single" w:color="auto" w:sz="4" w:space="0"/>
              <w:bottom w:val="single" w:color="auto" w:sz="4" w:space="0"/>
              <w:right w:val="single" w:color="auto" w:sz="4" w:space="0"/>
            </w:tcBorders>
            <w:vAlign w:val="center"/>
          </w:tcPr>
          <w:p w14:paraId="27EA5646">
            <w:pPr>
              <w:jc w:val="center"/>
              <w:rPr>
                <w:rFonts w:ascii="方正黑体_GBK" w:eastAsia="方正黑体_GBK"/>
                <w:b/>
                <w:szCs w:val="21"/>
              </w:rPr>
            </w:pPr>
            <w:r>
              <w:rPr>
                <w:rFonts w:hint="eastAsia" w:ascii="方正黑体_GBK" w:eastAsia="方正黑体_GBK"/>
                <w:b/>
                <w:szCs w:val="21"/>
              </w:rPr>
              <w:t>评审内容</w:t>
            </w:r>
          </w:p>
        </w:tc>
        <w:tc>
          <w:tcPr>
            <w:tcW w:w="5919" w:type="dxa"/>
            <w:tcBorders>
              <w:top w:val="single" w:color="auto" w:sz="4" w:space="0"/>
              <w:left w:val="single" w:color="auto" w:sz="4" w:space="0"/>
              <w:bottom w:val="single" w:color="auto" w:sz="4" w:space="0"/>
              <w:right w:val="single" w:color="auto" w:sz="4" w:space="0"/>
            </w:tcBorders>
            <w:vAlign w:val="center"/>
          </w:tcPr>
          <w:p w14:paraId="63FC73A0">
            <w:pPr>
              <w:jc w:val="center"/>
              <w:rPr>
                <w:rFonts w:ascii="方正黑体_GBK" w:eastAsia="方正黑体_GBK"/>
                <w:b/>
                <w:szCs w:val="21"/>
              </w:rPr>
            </w:pPr>
            <w:r>
              <w:rPr>
                <w:rFonts w:hint="eastAsia" w:ascii="方正黑体_GBK" w:eastAsia="方正黑体_GBK"/>
                <w:b/>
                <w:szCs w:val="21"/>
              </w:rPr>
              <w:t>评审标准</w:t>
            </w:r>
          </w:p>
        </w:tc>
      </w:tr>
      <w:tr w14:paraId="6A5B7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994" w:type="dxa"/>
            <w:gridSpan w:val="2"/>
            <w:tcBorders>
              <w:top w:val="single" w:color="auto" w:sz="4" w:space="0"/>
              <w:bottom w:val="single" w:color="auto" w:sz="4" w:space="0"/>
              <w:right w:val="single" w:color="auto" w:sz="4" w:space="0"/>
            </w:tcBorders>
            <w:vAlign w:val="center"/>
          </w:tcPr>
          <w:p w14:paraId="1F54F825">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2.2</w:t>
            </w:r>
          </w:p>
        </w:tc>
        <w:tc>
          <w:tcPr>
            <w:tcW w:w="2409" w:type="dxa"/>
            <w:tcBorders>
              <w:top w:val="single" w:color="auto" w:sz="4" w:space="0"/>
              <w:left w:val="single" w:color="auto" w:sz="4" w:space="0"/>
              <w:bottom w:val="single" w:color="auto" w:sz="4" w:space="0"/>
              <w:right w:val="single" w:color="auto" w:sz="4" w:space="0"/>
            </w:tcBorders>
            <w:vAlign w:val="center"/>
          </w:tcPr>
          <w:p w14:paraId="19C062E9">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详细评审标准</w:t>
            </w:r>
          </w:p>
        </w:tc>
        <w:tc>
          <w:tcPr>
            <w:tcW w:w="5919" w:type="dxa"/>
            <w:tcBorders>
              <w:top w:val="single" w:color="auto" w:sz="4" w:space="0"/>
              <w:left w:val="single" w:color="auto" w:sz="4" w:space="0"/>
              <w:bottom w:val="single" w:color="auto" w:sz="4" w:space="0"/>
              <w:right w:val="single" w:color="auto" w:sz="4" w:space="0"/>
            </w:tcBorders>
            <w:vAlign w:val="center"/>
          </w:tcPr>
          <w:p w14:paraId="049F325B">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最低评标价法</w:t>
            </w:r>
          </w:p>
        </w:tc>
      </w:tr>
    </w:tbl>
    <w:p w14:paraId="47B00644">
      <w:pPr>
        <w:pStyle w:val="25"/>
        <w:ind w:firstLine="560"/>
        <w:rPr>
          <w:lang w:val="zh-TW"/>
        </w:rPr>
      </w:pPr>
    </w:p>
    <w:p w14:paraId="37DD6D5D">
      <w:pPr>
        <w:pStyle w:val="25"/>
        <w:ind w:firstLine="560"/>
        <w:rPr>
          <w:lang w:val="zh-TW"/>
        </w:rPr>
      </w:pPr>
      <w:r>
        <w:rPr>
          <w:lang w:val="zh-TW"/>
        </w:rPr>
        <w:br w:type="page"/>
      </w:r>
    </w:p>
    <w:p w14:paraId="0BCD9EE4">
      <w:pPr>
        <w:keepNext/>
        <w:keepLines/>
        <w:spacing w:before="312" w:beforeLines="100" w:after="312" w:afterLines="100" w:line="360" w:lineRule="auto"/>
        <w:jc w:val="center"/>
        <w:outlineLvl w:val="0"/>
        <w:rPr>
          <w:rFonts w:ascii="Times New Roman" w:hAnsi="Times New Roman" w:eastAsia="黑体" w:cs="Times New Roman"/>
          <w:kern w:val="44"/>
          <w:sz w:val="36"/>
          <w:szCs w:val="36"/>
          <w:u w:color="000000"/>
          <w:lang w:val="zh-TW"/>
        </w:rPr>
      </w:pPr>
      <w:bookmarkStart w:id="10" w:name="_Toc194067113"/>
      <w:r>
        <w:rPr>
          <w:rFonts w:ascii="Times New Roman" w:hAnsi="Times New Roman" w:eastAsia="黑体" w:cs="Times New Roman"/>
          <w:kern w:val="44"/>
          <w:sz w:val="36"/>
          <w:szCs w:val="36"/>
          <w:u w:color="000000"/>
          <w:lang w:val="zh-TW" w:eastAsia="zh-TW"/>
        </w:rPr>
        <w:t>第</w:t>
      </w:r>
      <w:r>
        <w:rPr>
          <w:rFonts w:ascii="Times New Roman" w:hAnsi="Times New Roman" w:eastAsia="黑体" w:cs="Times New Roman"/>
          <w:kern w:val="44"/>
          <w:sz w:val="36"/>
          <w:szCs w:val="36"/>
          <w:u w:color="000000"/>
          <w:lang w:val="zh-TW"/>
        </w:rPr>
        <w:t>四</w:t>
      </w:r>
      <w:r>
        <w:rPr>
          <w:rFonts w:ascii="Times New Roman" w:hAnsi="Times New Roman" w:eastAsia="黑体" w:cs="Times New Roman"/>
          <w:kern w:val="44"/>
          <w:sz w:val="36"/>
          <w:szCs w:val="36"/>
          <w:u w:color="000000"/>
          <w:lang w:val="zh-TW" w:eastAsia="zh-TW"/>
        </w:rPr>
        <w:t xml:space="preserve">章  </w:t>
      </w:r>
      <w:r>
        <w:rPr>
          <w:rFonts w:ascii="Times New Roman" w:hAnsi="Times New Roman" w:eastAsia="黑体" w:cs="Times New Roman"/>
          <w:kern w:val="44"/>
          <w:sz w:val="36"/>
          <w:szCs w:val="36"/>
          <w:u w:color="000000"/>
          <w:lang w:val="zh-TW"/>
        </w:rPr>
        <w:t>合同格式</w:t>
      </w:r>
      <w:bookmarkEnd w:id="10"/>
    </w:p>
    <w:p w14:paraId="400C9594">
      <w:pPr>
        <w:spacing w:before="468" w:beforeLines="150" w:after="100" w:afterAutospacing="1"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甲</w:t>
      </w:r>
      <w:r>
        <w:rPr>
          <w:rFonts w:ascii="仿宋_GB2312" w:hAnsi="宋体" w:eastAsia="仿宋_GB2312"/>
          <w:sz w:val="28"/>
          <w:szCs w:val="28"/>
        </w:rPr>
        <w:t>、</w:t>
      </w:r>
      <w:r>
        <w:rPr>
          <w:rFonts w:hint="eastAsia" w:ascii="仿宋_GB2312" w:hAnsi="宋体" w:eastAsia="仿宋_GB2312"/>
          <w:sz w:val="28"/>
          <w:szCs w:val="28"/>
        </w:rPr>
        <w:t>乙</w:t>
      </w:r>
      <w:r>
        <w:rPr>
          <w:rFonts w:ascii="仿宋_GB2312" w:hAnsi="宋体" w:eastAsia="仿宋_GB2312"/>
          <w:sz w:val="28"/>
          <w:szCs w:val="28"/>
        </w:rPr>
        <w:t>双方根据</w:t>
      </w:r>
      <w:r>
        <w:rPr>
          <w:rFonts w:hint="eastAsia" w:ascii="仿宋_GB2312" w:hAnsi="宋体" w:eastAsia="仿宋_GB2312"/>
          <w:b/>
          <w:bCs/>
          <w:sz w:val="28"/>
          <w:szCs w:val="28"/>
          <w:u w:val="single"/>
        </w:rPr>
        <w:t>统一代扣渠道</w:t>
      </w:r>
      <w:r>
        <w:rPr>
          <w:rFonts w:hint="eastAsia" w:ascii="仿宋_GB2312" w:hAnsi="宋体" w:eastAsia="仿宋_GB2312"/>
          <w:sz w:val="28"/>
          <w:szCs w:val="28"/>
        </w:rPr>
        <w:t>项目采购</w:t>
      </w:r>
      <w:r>
        <w:rPr>
          <w:rFonts w:ascii="仿宋_GB2312" w:hAnsi="宋体" w:eastAsia="仿宋_GB2312"/>
          <w:sz w:val="28"/>
          <w:szCs w:val="28"/>
        </w:rPr>
        <w:t>文件的规定、乙方</w:t>
      </w:r>
      <w:r>
        <w:rPr>
          <w:rFonts w:hint="eastAsia" w:ascii="仿宋_GB2312" w:hAnsi="宋体" w:eastAsia="仿宋_GB2312"/>
          <w:sz w:val="28"/>
          <w:szCs w:val="28"/>
        </w:rPr>
        <w:t>响应</w:t>
      </w:r>
      <w:r>
        <w:rPr>
          <w:rFonts w:ascii="仿宋_GB2312" w:hAnsi="宋体" w:eastAsia="仿宋_GB2312"/>
          <w:sz w:val="28"/>
          <w:szCs w:val="28"/>
        </w:rPr>
        <w:t>文件及</w:t>
      </w:r>
      <w:r>
        <w:rPr>
          <w:rFonts w:hint="eastAsia" w:ascii="仿宋_GB2312" w:hAnsi="宋体" w:eastAsia="仿宋_GB2312"/>
          <w:sz w:val="28"/>
          <w:szCs w:val="28"/>
        </w:rPr>
        <w:t>谈判</w:t>
      </w:r>
      <w:r>
        <w:rPr>
          <w:rFonts w:ascii="仿宋_GB2312" w:hAnsi="宋体" w:eastAsia="仿宋_GB2312"/>
          <w:sz w:val="28"/>
          <w:szCs w:val="28"/>
        </w:rPr>
        <w:t>时乙方做出的书面承诺，依法签订本合同。</w:t>
      </w:r>
    </w:p>
    <w:p w14:paraId="21E63B5F">
      <w:pPr>
        <w:widowControl/>
        <w:spacing w:before="100" w:beforeAutospacing="1"/>
        <w:outlineLvl w:val="0"/>
        <w:rPr>
          <w:rFonts w:hint="eastAsia" w:ascii="仿宋_GB2312" w:hAnsi="宋体" w:eastAsia="仿宋_GB2312"/>
          <w:b/>
          <w:snapToGrid w:val="0"/>
          <w:sz w:val="28"/>
          <w:szCs w:val="28"/>
        </w:rPr>
      </w:pPr>
      <w:bookmarkStart w:id="11" w:name="_Toc194067114"/>
      <w:r>
        <w:rPr>
          <w:rFonts w:hint="eastAsia" w:ascii="仿宋_GB2312" w:hAnsi="宋体" w:eastAsia="仿宋_GB2312"/>
          <w:b/>
          <w:snapToGrid w:val="0"/>
          <w:sz w:val="28"/>
          <w:szCs w:val="28"/>
        </w:rPr>
        <w:t>第一条  定义</w:t>
      </w:r>
      <w:bookmarkEnd w:id="11"/>
    </w:p>
    <w:p w14:paraId="18808009">
      <w:pPr>
        <w:ind w:firstLine="560" w:firstLineChars="200"/>
        <w:rPr>
          <w:rFonts w:hint="eastAsia" w:ascii="仿宋_GB2312" w:hAnsi="宋体" w:eastAsia="仿宋_GB2312"/>
          <w:sz w:val="28"/>
          <w:szCs w:val="28"/>
        </w:rPr>
      </w:pPr>
      <w:r>
        <w:rPr>
          <w:rFonts w:hint="eastAsia" w:ascii="仿宋_GB2312" w:hAnsi="宋体" w:eastAsia="仿宋_GB2312"/>
          <w:sz w:val="28"/>
          <w:szCs w:val="28"/>
        </w:rPr>
        <w:t>代收业务：是指经付款人同意，甲方委托乙方通过对公电子银行渠道按照约定的频率、额度等条件，从甲方扣款指令指定的付款人账户中扣划资金给甲方指定收款账户，且付款人开户机构不再与付款人逐笔进行交易确认的支付业务。</w:t>
      </w:r>
    </w:p>
    <w:p w14:paraId="14BC888D">
      <w:pPr>
        <w:widowControl/>
        <w:spacing w:before="100" w:beforeAutospacing="1"/>
        <w:outlineLvl w:val="0"/>
        <w:rPr>
          <w:rFonts w:hint="eastAsia" w:ascii="仿宋_GB2312" w:hAnsi="宋体" w:eastAsia="仿宋_GB2312"/>
          <w:b/>
          <w:snapToGrid w:val="0"/>
          <w:sz w:val="28"/>
          <w:szCs w:val="28"/>
        </w:rPr>
      </w:pPr>
      <w:bookmarkStart w:id="12" w:name="_Toc194067115"/>
      <w:r>
        <w:rPr>
          <w:rFonts w:hint="eastAsia" w:ascii="仿宋_GB2312" w:hAnsi="宋体" w:eastAsia="仿宋_GB2312"/>
          <w:b/>
          <w:snapToGrid w:val="0"/>
          <w:sz w:val="28"/>
          <w:szCs w:val="28"/>
        </w:rPr>
        <w:t>第二条  合作内容</w:t>
      </w:r>
      <w:bookmarkEnd w:id="12"/>
    </w:p>
    <w:p w14:paraId="1FCF544E">
      <w:pPr>
        <w:widowControl/>
        <w:autoSpaceDE w:val="0"/>
        <w:autoSpaceDN w:val="0"/>
        <w:ind w:firstLine="560" w:firstLineChars="200"/>
        <w:rPr>
          <w:rFonts w:hint="eastAsia" w:ascii="仿宋_GB2312" w:hAnsi="宋体" w:eastAsia="仿宋_GB2312"/>
          <w:sz w:val="28"/>
          <w:szCs w:val="28"/>
        </w:rPr>
      </w:pPr>
      <w:r>
        <w:rPr>
          <w:rFonts w:hint="eastAsia" w:ascii="仿宋_GB2312" w:hAnsi="宋体" w:eastAsia="仿宋_GB2312"/>
          <w:sz w:val="28"/>
          <w:szCs w:val="28"/>
        </w:rPr>
        <w:t>甲方收款账号</w:t>
      </w:r>
      <w:r>
        <w:rPr>
          <w:rFonts w:hint="eastAsia" w:ascii="仿宋_GB2312" w:hAnsi="宋体" w:eastAsia="仿宋_GB2312"/>
          <w:color w:val="000000"/>
          <w:sz w:val="28"/>
          <w:szCs w:val="28"/>
        </w:rPr>
        <w:t>____________________________________</w:t>
      </w:r>
    </w:p>
    <w:p w14:paraId="6FE1E7F5">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甲乙双方共同合作开展下列业务，甲方同意在进行交易时，根据不同代收业务类型按照本协议约定按时足额向乙方支付手续费</w:t>
      </w:r>
      <w:r>
        <w:rPr>
          <w:rStyle w:val="31"/>
          <w:rFonts w:hint="eastAsia" w:ascii="仿宋_GB2312" w:hAnsi="宋体" w:eastAsia="仿宋_GB2312"/>
          <w:sz w:val="28"/>
          <w:szCs w:val="28"/>
        </w:rPr>
        <w:t>，</w:t>
      </w:r>
      <w:r>
        <w:rPr>
          <w:rFonts w:hint="eastAsia" w:ascii="仿宋_GB2312" w:hAnsi="宋体" w:eastAsia="仿宋_GB2312"/>
          <w:sz w:val="28"/>
          <w:szCs w:val="28"/>
        </w:rPr>
        <w:t>划转至乙方指定的收取手续费的如下账户，否则甲方应按照甲方应付未付手续费每日[   ]%向乙方支付违约金。上述费用为含税价格，相关税率按照国家法律法规规定执行。</w:t>
      </w:r>
    </w:p>
    <w:p w14:paraId="488CA7FA">
      <w:pPr>
        <w:ind w:firstLine="560" w:firstLineChars="200"/>
        <w:rPr>
          <w:rFonts w:hint="eastAsia" w:ascii="仿宋_GB2312" w:hAnsi="宋体" w:eastAsia="仿宋_GB2312"/>
          <w:sz w:val="28"/>
          <w:szCs w:val="28"/>
        </w:rPr>
      </w:pPr>
      <w:r>
        <w:rPr>
          <w:rFonts w:hint="eastAsia" w:ascii="仿宋_GB2312" w:hAnsi="宋体" w:eastAsia="仿宋_GB2312"/>
          <w:sz w:val="28"/>
          <w:szCs w:val="28"/>
        </w:rPr>
        <w:t>手续费账号：______________________</w:t>
      </w:r>
    </w:p>
    <w:p w14:paraId="5714F2F7">
      <w:pPr>
        <w:ind w:firstLine="560" w:firstLineChars="200"/>
        <w:rPr>
          <w:rFonts w:hint="eastAsia" w:ascii="仿宋_GB2312" w:hAnsi="宋体" w:eastAsia="仿宋_GB2312"/>
          <w:sz w:val="28"/>
          <w:szCs w:val="28"/>
        </w:rPr>
      </w:pPr>
      <w:r>
        <w:rPr>
          <w:rFonts w:hint="eastAsia" w:ascii="仿宋_GB2312" w:hAnsi="宋体" w:eastAsia="仿宋_GB2312"/>
          <w:sz w:val="28"/>
          <w:szCs w:val="28"/>
        </w:rPr>
        <w:t>手续费账号户名：______________________</w:t>
      </w:r>
    </w:p>
    <w:p w14:paraId="59B9E311">
      <w:pPr>
        <w:ind w:firstLine="560" w:firstLineChars="200"/>
        <w:rPr>
          <w:rFonts w:hint="eastAsia" w:ascii="仿宋_GB2312" w:hAnsi="宋体" w:eastAsia="仿宋_GB2312"/>
          <w:sz w:val="28"/>
          <w:szCs w:val="28"/>
        </w:rPr>
      </w:pPr>
      <w:r>
        <w:rPr>
          <w:rFonts w:hint="eastAsia" w:ascii="仿宋_GB2312" w:hAnsi="宋体" w:eastAsia="仿宋_GB2312"/>
          <w:sz w:val="28"/>
          <w:szCs w:val="28"/>
        </w:rPr>
        <w:t>手续费账号开户行：______________________</w:t>
      </w:r>
    </w:p>
    <w:p w14:paraId="1875C7E9">
      <w:pPr>
        <w:widowControl/>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甲乙双方约定手续费费率为</w:t>
      </w:r>
      <w:r>
        <w:rPr>
          <w:rFonts w:hint="eastAsia" w:ascii="仿宋_GB2312" w:hAnsi="宋体" w:eastAsia="仿宋_GB2312"/>
          <w:sz w:val="28"/>
          <w:szCs w:val="28"/>
        </w:rPr>
        <w:t>：____________</w:t>
      </w:r>
    </w:p>
    <w:p w14:paraId="4B48EE3F">
      <w:pPr>
        <w:widowControl/>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甲乙双方约定手续费支付周期为（在□内打√表示选择适用，打×表示不适用）：</w:t>
      </w:r>
    </w:p>
    <w:p w14:paraId="47E8D661">
      <w:pPr>
        <w:widowControl/>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sym w:font="Wingdings" w:char="00A8"/>
      </w:r>
      <w:r>
        <w:rPr>
          <w:rFonts w:hint="eastAsia" w:ascii="仿宋_GB2312" w:hAnsi="宋体" w:eastAsia="仿宋_GB2312"/>
          <w:color w:val="000000"/>
          <w:sz w:val="28"/>
          <w:szCs w:val="28"/>
        </w:rPr>
        <w:t xml:space="preserve">每月[  ]日  </w:t>
      </w:r>
      <w:r>
        <w:rPr>
          <w:rFonts w:hint="eastAsia" w:ascii="仿宋_GB2312" w:hAnsi="宋体" w:eastAsia="仿宋_GB2312"/>
          <w:color w:val="000000"/>
          <w:sz w:val="28"/>
          <w:szCs w:val="28"/>
        </w:rPr>
        <w:sym w:font="Wingdings" w:char="00A8"/>
      </w:r>
      <w:r>
        <w:rPr>
          <w:rFonts w:hint="eastAsia" w:ascii="仿宋_GB2312" w:hAnsi="宋体" w:eastAsia="仿宋_GB2312"/>
          <w:color w:val="000000"/>
          <w:sz w:val="28"/>
          <w:szCs w:val="28"/>
        </w:rPr>
        <w:t xml:space="preserve">每季[  ]日   </w:t>
      </w:r>
      <w:r>
        <w:rPr>
          <w:rFonts w:hint="eastAsia" w:ascii="仿宋_GB2312" w:hAnsi="宋体" w:eastAsia="仿宋_GB2312"/>
          <w:color w:val="000000"/>
          <w:sz w:val="28"/>
          <w:szCs w:val="28"/>
        </w:rPr>
        <w:sym w:font="Wingdings" w:char="00A8"/>
      </w:r>
      <w:r>
        <w:rPr>
          <w:rFonts w:hint="eastAsia" w:ascii="仿宋_GB2312" w:hAnsi="宋体" w:eastAsia="仿宋_GB2312"/>
          <w:color w:val="000000"/>
          <w:sz w:val="28"/>
          <w:szCs w:val="28"/>
        </w:rPr>
        <w:t xml:space="preserve">其他：              </w:t>
      </w:r>
    </w:p>
    <w:p w14:paraId="0C20BB51">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甲方有权在本协议甲方收款账号下增加新的代收业务，也有权删除或更改代收业务信息，但甲方应以书面形式向乙方提出申请（见附件），无需重新签订协议，并甲方应按甲方提出申请时乙方施行的有关规定办理相关手续，乙方有权审核并有权审核通过后予以办理，乙方也有权审核不通过后拒绝办理且不承担责任。因甲方未及时提出申请，导致本服务无法提供或提供时发生错误，由此产生的后果将由甲方自行承担，乙方不承担责任。</w:t>
      </w:r>
    </w:p>
    <w:p w14:paraId="5EBED9D5">
      <w:pPr>
        <w:widowControl/>
        <w:spacing w:before="100" w:beforeAutospacing="1"/>
        <w:outlineLvl w:val="0"/>
        <w:rPr>
          <w:rFonts w:hint="eastAsia" w:ascii="仿宋_GB2312" w:hAnsi="宋体" w:eastAsia="仿宋_GB2312"/>
          <w:b/>
          <w:snapToGrid w:val="0"/>
          <w:sz w:val="28"/>
          <w:szCs w:val="28"/>
        </w:rPr>
      </w:pPr>
      <w:bookmarkStart w:id="13" w:name="_Toc194067116"/>
      <w:r>
        <w:rPr>
          <w:rFonts w:hint="eastAsia" w:ascii="仿宋_GB2312" w:hAnsi="宋体" w:eastAsia="仿宋_GB2312"/>
          <w:b/>
          <w:snapToGrid w:val="0"/>
          <w:sz w:val="28"/>
          <w:szCs w:val="28"/>
        </w:rPr>
        <w:t>第三条  甲方的权利与义务</w:t>
      </w:r>
      <w:bookmarkEnd w:id="13"/>
    </w:p>
    <w:p w14:paraId="5AB79E30">
      <w:pPr>
        <w:ind w:firstLine="560" w:firstLineChars="200"/>
        <w:rPr>
          <w:rFonts w:hint="eastAsia" w:ascii="仿宋_GB2312" w:hAnsi="宋体" w:eastAsia="仿宋_GB2312"/>
          <w:sz w:val="28"/>
          <w:szCs w:val="28"/>
        </w:rPr>
      </w:pPr>
      <w:r>
        <w:rPr>
          <w:rFonts w:hint="eastAsia" w:ascii="仿宋_GB2312" w:hAnsi="宋体" w:eastAsia="仿宋_GB2312"/>
          <w:sz w:val="28"/>
          <w:szCs w:val="28"/>
        </w:rPr>
        <w:t>1、甲方应确保代收款事项已获得付款方的有效授权，授权甲方对其指定的账户（包括个人借记卡、活期存折、对公账户等）扣划相关款项，授权内容包括代收用途、单笔限额、日累计限额、代收频次或条件、授权有效期等。由于未获得付款方授权、或付款信息与授权信息不符而导致交易处理不成功等，乙方不承担任何责任。</w:t>
      </w:r>
    </w:p>
    <w:p w14:paraId="513C8129">
      <w:pPr>
        <w:ind w:firstLine="560" w:firstLineChars="200"/>
        <w:rPr>
          <w:rFonts w:hint="eastAsia" w:ascii="仿宋_GB2312" w:hAnsi="宋体" w:eastAsia="仿宋_GB2312"/>
          <w:sz w:val="28"/>
          <w:szCs w:val="28"/>
        </w:rPr>
      </w:pPr>
      <w:r>
        <w:rPr>
          <w:rFonts w:hint="eastAsia" w:ascii="仿宋_GB2312" w:hAnsi="宋体" w:eastAsia="仿宋_GB2312"/>
          <w:sz w:val="28"/>
          <w:szCs w:val="28"/>
        </w:rPr>
        <w:t>2、甲方作为交易发起方，应对向乙方发送的扣款指令及扣款数据等信息的真实性、准确性、完整性、合法合规性及有效性负责。因执行甲方的扣款指令而导致乙方误扣、误入客户账户或款项金额错误的，由甲方承担全部责任。</w:t>
      </w:r>
    </w:p>
    <w:p w14:paraId="1933E70D">
      <w:pPr>
        <w:ind w:firstLine="560" w:firstLineChars="200"/>
        <w:rPr>
          <w:rFonts w:hint="eastAsia" w:ascii="仿宋_GB2312" w:hAnsi="宋体" w:eastAsia="仿宋_GB2312"/>
          <w:sz w:val="28"/>
          <w:szCs w:val="28"/>
        </w:rPr>
      </w:pPr>
      <w:r>
        <w:rPr>
          <w:rFonts w:hint="eastAsia" w:ascii="仿宋_GB2312" w:hAnsi="宋体" w:eastAsia="仿宋_GB2312"/>
          <w:sz w:val="28"/>
          <w:szCs w:val="28"/>
        </w:rPr>
        <w:t>3、甲方应向乙方提交含有收款详细信息（包括付款方名称、证件信息、付款账号、金额、代收用途等）的电子数据，委托乙方按此交易数据收取相关款项。由于下列任一原因而导致交易处理不成功或导致损失的，乙方不承担任何责任：</w:t>
      </w:r>
      <w:r>
        <w:rPr>
          <w:rFonts w:ascii="仿宋_GB2312" w:hAnsi="宋体" w:eastAsia="仿宋_GB2312"/>
          <w:sz w:val="28"/>
          <w:szCs w:val="28"/>
        </w:rPr>
        <w:t>A.甲方指定扣款账户被司法或行政机关</w:t>
      </w:r>
      <w:r>
        <w:rPr>
          <w:rFonts w:hint="eastAsia" w:ascii="仿宋_GB2312" w:hAnsi="宋体" w:eastAsia="仿宋_GB2312"/>
          <w:sz w:val="28"/>
          <w:szCs w:val="28"/>
        </w:rPr>
        <w:t>或有权机关采取强制措施，或已根据相关约定设置担保或被依法冻结、止付、查封或扣划等措施或</w:t>
      </w:r>
      <w:r>
        <w:rPr>
          <w:rFonts w:hint="eastAsia" w:ascii="仿宋_GB2312" w:hAnsi="宋体" w:eastAsia="仿宋_GB2312" w:cs="Times New Roman"/>
          <w:sz w:val="28"/>
          <w:szCs w:val="28"/>
        </w:rPr>
        <w:t>账户状态不正常等</w:t>
      </w:r>
      <w:r>
        <w:rPr>
          <w:rFonts w:hint="eastAsia" w:ascii="仿宋_GB2312" w:hAnsi="宋体" w:eastAsia="仿宋_GB2312"/>
          <w:sz w:val="28"/>
          <w:szCs w:val="28"/>
        </w:rPr>
        <w:t>；</w:t>
      </w:r>
      <w:r>
        <w:rPr>
          <w:rFonts w:ascii="仿宋_GB2312" w:hAnsi="宋体" w:eastAsia="仿宋_GB2312"/>
          <w:sz w:val="28"/>
          <w:szCs w:val="28"/>
        </w:rPr>
        <w:t>B.扣款账户可用余额不足；C.</w:t>
      </w:r>
      <w:r>
        <w:rPr>
          <w:rFonts w:hint="eastAsia" w:ascii="仿宋_GB2312" w:hAnsi="宋体" w:eastAsia="仿宋_GB2312"/>
          <w:sz w:val="28"/>
          <w:szCs w:val="28"/>
        </w:rPr>
        <w:t>扣款账户不满足反洗钱、账户管理等相关规定而导致扣款账户为非正常状态等；</w:t>
      </w:r>
      <w:r>
        <w:rPr>
          <w:rFonts w:ascii="仿宋_GB2312" w:hAnsi="宋体" w:eastAsia="仿宋_GB2312"/>
          <w:sz w:val="28"/>
          <w:szCs w:val="28"/>
        </w:rPr>
        <w:t>D.甲方或付款方</w:t>
      </w:r>
      <w:r>
        <w:rPr>
          <w:rFonts w:hint="eastAsia" w:ascii="仿宋_GB2312" w:hAnsi="宋体" w:eastAsia="仿宋_GB2312"/>
          <w:sz w:val="28"/>
          <w:szCs w:val="28"/>
        </w:rPr>
        <w:t>已解除在乙方或他行的代收服务签约关系，关闭扣款功能；</w:t>
      </w:r>
      <w:r>
        <w:rPr>
          <w:rFonts w:ascii="仿宋_GB2312" w:hAnsi="宋体" w:eastAsia="仿宋_GB2312"/>
          <w:sz w:val="28"/>
          <w:szCs w:val="28"/>
        </w:rPr>
        <w:t xml:space="preserve"> E.</w:t>
      </w:r>
      <w:r>
        <w:rPr>
          <w:rFonts w:hint="eastAsia" w:ascii="仿宋_GB2312" w:hAnsi="宋体" w:eastAsia="仿宋_GB2312"/>
          <w:sz w:val="28"/>
          <w:szCs w:val="28"/>
        </w:rPr>
        <w:t>甲方在进行相关操作时不符合乙方的操作要求或者因乙方接收到的指令不明确、存在乱码、不完整、不清晰或无法辨认等造成指令未能执行或者执行错误；F</w:t>
      </w:r>
      <w:r>
        <w:rPr>
          <w:rFonts w:ascii="仿宋_GB2312" w:hAnsi="宋体" w:eastAsia="仿宋_GB2312"/>
          <w:sz w:val="28"/>
          <w:szCs w:val="28"/>
        </w:rPr>
        <w:t>.不可抗力（包括战争、自然灾害、电力供应中断、火灾、地震、网络系统故障等意外事件</w:t>
      </w:r>
      <w:r>
        <w:rPr>
          <w:rFonts w:hint="eastAsia" w:ascii="宋体" w:hAnsi="宋体" w:cs="宋体"/>
          <w:sz w:val="24"/>
        </w:rPr>
        <w:t>、</w:t>
      </w:r>
      <w:r>
        <w:rPr>
          <w:rFonts w:hint="eastAsia" w:ascii="仿宋_GB2312" w:hAnsi="宋体" w:eastAsia="仿宋_GB2312"/>
          <w:sz w:val="28"/>
          <w:szCs w:val="28"/>
        </w:rPr>
        <w:t>计算机黑客袭击、系统故障、通讯故障、网络拥堵、供电系统故障、电脑病毒、恶意程序攻击</w:t>
      </w:r>
      <w:r>
        <w:rPr>
          <w:rFonts w:ascii="仿宋_GB2312" w:hAnsi="宋体" w:eastAsia="仿宋_GB2312"/>
          <w:sz w:val="28"/>
          <w:szCs w:val="28"/>
        </w:rPr>
        <w:t>造成网络银行无法正常运行</w:t>
      </w:r>
      <w:r>
        <w:rPr>
          <w:rFonts w:hint="eastAsia" w:ascii="仿宋_GB2312" w:hAnsi="宋体" w:eastAsia="仿宋_GB2312"/>
          <w:sz w:val="28"/>
          <w:szCs w:val="28"/>
        </w:rPr>
        <w:t>；G.其他非乙方原因导致扣款失败。</w:t>
      </w:r>
    </w:p>
    <w:p w14:paraId="77339970">
      <w:pPr>
        <w:ind w:firstLine="560" w:firstLineChars="200"/>
        <w:rPr>
          <w:rFonts w:hint="eastAsia" w:ascii="仿宋_GB2312" w:hAnsi="宋体" w:eastAsia="仿宋_GB2312"/>
          <w:sz w:val="28"/>
          <w:szCs w:val="28"/>
        </w:rPr>
      </w:pPr>
      <w:r>
        <w:rPr>
          <w:rFonts w:hint="eastAsia" w:ascii="仿宋_GB2312" w:hAnsi="宋体" w:eastAsia="仿宋_GB2312"/>
          <w:sz w:val="28"/>
          <w:szCs w:val="28"/>
        </w:rPr>
        <w:t>4、甲方应确保代收业务的合法合规性，如因合法合规性问题，导致的任何争议和纠纷，均由甲方负责处理并承担责任，乙方不承担责任。</w:t>
      </w:r>
    </w:p>
    <w:p w14:paraId="119254FA">
      <w:pPr>
        <w:ind w:firstLine="560" w:firstLineChars="200"/>
        <w:rPr>
          <w:rFonts w:hint="eastAsia" w:ascii="仿宋_GB2312" w:hAnsi="宋体" w:eastAsia="仿宋_GB2312"/>
          <w:sz w:val="28"/>
          <w:szCs w:val="28"/>
        </w:rPr>
      </w:pPr>
      <w:r>
        <w:rPr>
          <w:rFonts w:hint="eastAsia" w:ascii="仿宋_GB2312" w:hAnsi="宋体" w:eastAsia="仿宋_GB2312"/>
          <w:sz w:val="28"/>
          <w:szCs w:val="28"/>
        </w:rPr>
        <w:t>5、甲方承诺为防范洗钱和恐怖融资活动，甲方应严格遵照甲方所属行业适用的人民银行反洗钱及反恐怖融资相关规定、办法识别合作客户身份、保存客户身份资料和交易记录，按照勤勉尽责的原则监测并分析客户行为或交易，对有理由判断与洗钱、恐怖融资或其他犯罪活动相关的，应及时</w:t>
      </w:r>
      <w:r>
        <w:rPr>
          <w:rFonts w:hint="eastAsia" w:ascii="仿宋" w:hAnsi="仿宋" w:eastAsia="仿宋"/>
          <w:sz w:val="28"/>
          <w:szCs w:val="28"/>
        </w:rPr>
        <w:t>采取法定措施、落实相关法定义务，及时</w:t>
      </w:r>
      <w:r>
        <w:rPr>
          <w:rFonts w:hint="eastAsia" w:ascii="仿宋_GB2312" w:hAnsi="宋体" w:eastAsia="仿宋_GB2312"/>
          <w:sz w:val="28"/>
          <w:szCs w:val="28"/>
        </w:rPr>
        <w:t>向公安及监管机构报告，并向乙方通报。</w:t>
      </w:r>
    </w:p>
    <w:p w14:paraId="35D2B4E4">
      <w:pPr>
        <w:ind w:firstLine="560" w:firstLineChars="200"/>
        <w:rPr>
          <w:rFonts w:hint="eastAsia" w:ascii="仿宋_GB2312" w:hAnsi="宋体" w:eastAsia="仿宋_GB2312"/>
          <w:sz w:val="28"/>
          <w:szCs w:val="28"/>
        </w:rPr>
      </w:pPr>
      <w:r>
        <w:rPr>
          <w:rFonts w:hint="eastAsia" w:ascii="仿宋_GB2312" w:hAnsi="宋体" w:eastAsia="仿宋_GB2312"/>
          <w:sz w:val="28"/>
          <w:szCs w:val="28"/>
        </w:rPr>
        <w:t>6、甲方不得利用本协议项下服务进行套现、虚假交易、洗钱等行为，甲方承诺不会利用本服务从事任何非法的或侵犯任何其他第三方权益的行为，且有义务配合乙方进行相关调查，如甲方拒绝配合进行相关调查或乙方认为甲方存在或涉嫌虚假交易、洗钱、套现或任何其他非法活动、欺诈或违反诚信原则的行为，或甲方违反本协议约定的，或违反法律法规、监管规定或要求的，乙方有权采取以下一种、多种或全部措施：（1）提前终止本协议；（2）暂停或终止提供本协议项下服务；（3）依法采取管控措施；（4）要求甲方赔偿因此而给乙方造成的损失。</w:t>
      </w:r>
    </w:p>
    <w:p w14:paraId="6F725FE6">
      <w:pPr>
        <w:ind w:firstLine="560" w:firstLineChars="200"/>
        <w:rPr>
          <w:rFonts w:hint="eastAsia" w:ascii="仿宋_GB2312" w:hAnsi="宋体" w:eastAsia="仿宋_GB2312"/>
          <w:sz w:val="28"/>
          <w:szCs w:val="28"/>
        </w:rPr>
      </w:pPr>
      <w:r>
        <w:rPr>
          <w:rFonts w:hint="eastAsia" w:ascii="仿宋_GB2312" w:hAnsi="宋体" w:eastAsia="仿宋_GB2312"/>
          <w:sz w:val="28"/>
          <w:szCs w:val="28"/>
        </w:rPr>
        <w:t>7、乙方应监管机构、有权机关要求或内部检查或管理需要，有权要求甲方提供相关付款方授权信息。因甲方就本合作所获取信息付款方授权不符合法律法规规定及监管要求或本协议约定的，乙方有权暂停提供服务或提前终止本协议，因此而发生与付款方纠纷的，甲方应负责解决，给乙方造成损失的，甲方应予以赔偿。</w:t>
      </w:r>
    </w:p>
    <w:p w14:paraId="11D5E8ED">
      <w:pPr>
        <w:ind w:firstLine="560" w:firstLineChars="200"/>
        <w:rPr>
          <w:rFonts w:hint="eastAsia" w:ascii="仿宋_GB2312" w:hAnsi="宋体" w:eastAsia="仿宋_GB2312"/>
          <w:sz w:val="28"/>
          <w:szCs w:val="28"/>
        </w:rPr>
      </w:pPr>
      <w:r>
        <w:rPr>
          <w:rFonts w:hint="eastAsia" w:ascii="仿宋_GB2312" w:hAnsi="宋体" w:eastAsia="仿宋_GB2312"/>
          <w:sz w:val="28"/>
          <w:szCs w:val="28"/>
        </w:rPr>
        <w:t>8、甲方负责验证客户身份，确保客户身份真实、合法。甲方保证本合作下向乙方提交信息的真实性、准确性、有效性、合法合规性、完整性且已取得客户有效授权。</w:t>
      </w:r>
    </w:p>
    <w:p w14:paraId="56559500">
      <w:pPr>
        <w:widowControl/>
        <w:spacing w:before="100" w:beforeAutospacing="1"/>
        <w:outlineLvl w:val="0"/>
        <w:rPr>
          <w:rFonts w:hint="eastAsia" w:ascii="仿宋_GB2312" w:hAnsi="宋体" w:eastAsia="仿宋_GB2312"/>
          <w:b/>
          <w:snapToGrid w:val="0"/>
          <w:sz w:val="28"/>
          <w:szCs w:val="28"/>
        </w:rPr>
      </w:pPr>
      <w:bookmarkStart w:id="14" w:name="_Toc194067117"/>
      <w:r>
        <w:rPr>
          <w:rFonts w:hint="eastAsia" w:ascii="仿宋_GB2312" w:hAnsi="宋体" w:eastAsia="仿宋_GB2312"/>
          <w:b/>
          <w:snapToGrid w:val="0"/>
          <w:sz w:val="28"/>
          <w:szCs w:val="28"/>
        </w:rPr>
        <w:t>第四条  乙方的权利与义务</w:t>
      </w:r>
      <w:bookmarkEnd w:id="14"/>
    </w:p>
    <w:p w14:paraId="2C421717">
      <w:pPr>
        <w:ind w:firstLine="560" w:firstLineChars="200"/>
        <w:rPr>
          <w:rFonts w:hint="eastAsia" w:ascii="仿宋_GB2312" w:hAnsi="宋体" w:eastAsia="仿宋_GB2312"/>
          <w:sz w:val="28"/>
          <w:szCs w:val="28"/>
        </w:rPr>
      </w:pPr>
      <w:r>
        <w:rPr>
          <w:rFonts w:hint="eastAsia" w:ascii="仿宋_GB2312" w:hAnsi="宋体" w:eastAsia="仿宋_GB2312"/>
          <w:sz w:val="28"/>
          <w:szCs w:val="28"/>
        </w:rPr>
        <w:t>1、乙方对由甲方提交的代收交易数据均视为已获得甲方业务相关方的授权，但虽有上述约定，乙方有权事先或者在为客户办理首笔扣款时另行取得客户的授权，且在具体代收业务开展时有权逐笔校验甲方扣款指令与客户代收服务授权要素的一致性，如存在客户未进行代收服务签约/授权的或者客户授权要素与甲方扣款指令不一致的/未通过乙方合作机构校验的，乙方有权拒绝办理相关业务且不承担责任，并有权通过短信等形式向客户提示。对于甲方委托办理业务与本协议约定事项不符的，乙方有权拒绝办理相关业务且不承担责任。</w:t>
      </w:r>
    </w:p>
    <w:p w14:paraId="7E7C8B05">
      <w:pPr>
        <w:ind w:firstLine="560" w:firstLineChars="200"/>
        <w:rPr>
          <w:rFonts w:hint="eastAsia" w:ascii="仿宋_GB2312" w:hAnsi="宋体" w:eastAsia="仿宋_GB2312"/>
          <w:sz w:val="28"/>
          <w:szCs w:val="28"/>
        </w:rPr>
      </w:pPr>
      <w:r>
        <w:rPr>
          <w:rFonts w:hint="eastAsia" w:ascii="仿宋_GB2312" w:hAnsi="宋体" w:eastAsia="仿宋_GB2312"/>
          <w:sz w:val="28"/>
          <w:szCs w:val="28"/>
        </w:rPr>
        <w:t>2、甲方同意并授权乙方有权收集甲方提交的收款信息（包含收款账号、收款客户名称、用途信息），用于为甲乙双方开展本协议项下的代收业务，如存在收款信息与本协议约定不一致的，乙方有权拒绝办理相关业务且不承担责任。</w:t>
      </w:r>
    </w:p>
    <w:p w14:paraId="0AEE2B77">
      <w:pPr>
        <w:ind w:firstLine="560" w:firstLineChars="200"/>
        <w:rPr>
          <w:rFonts w:hint="eastAsia" w:ascii="仿宋_GB2312" w:hAnsi="宋体" w:eastAsia="仿宋_GB2312"/>
          <w:sz w:val="28"/>
          <w:szCs w:val="28"/>
        </w:rPr>
      </w:pPr>
      <w:r>
        <w:rPr>
          <w:rFonts w:hint="eastAsia" w:ascii="仿宋_GB2312" w:hAnsi="宋体" w:eastAsia="仿宋_GB2312"/>
          <w:sz w:val="28"/>
          <w:szCs w:val="28"/>
        </w:rPr>
        <w:t>3、乙方向甲方提供交易结果，并将代理收取的相关款项划入甲方指定收款账户。</w:t>
      </w:r>
    </w:p>
    <w:p w14:paraId="6E063664">
      <w:pPr>
        <w:ind w:firstLine="560" w:firstLineChars="200"/>
        <w:rPr>
          <w:rFonts w:hint="eastAsia" w:ascii="仿宋_GB2312" w:hAnsi="宋体" w:eastAsia="仿宋_GB2312"/>
          <w:sz w:val="28"/>
          <w:szCs w:val="28"/>
        </w:rPr>
      </w:pPr>
      <w:r>
        <w:rPr>
          <w:rFonts w:hint="eastAsia" w:ascii="仿宋_GB2312" w:hAnsi="宋体" w:eastAsia="仿宋_GB2312"/>
          <w:sz w:val="28"/>
          <w:szCs w:val="28"/>
        </w:rPr>
        <w:t>4、如甲方与付款方之间产生纠纷，由甲方与付款方自行协商解决，乙方不承担责任。本服务项下乙方仅为扣款指令的执行方，乙方对于所接收的扣款指令的真实性、合法合规性、准确性、完整性及有效性不负有审查义务且不承担责任。如因此造成乙方损失的，甲方应予赔偿。如甲方业务相关方因款项未能及时到账或因执行甲方的扣款指令而导致乙方扣款错误或甲方发送的指令或信息有误或其他因代收产生的纠纷、投诉，由甲方负责处理，乙方可为甲方对交易过程、结果提供查询等必要的协助，乙方不承担责任。如付款方对扣款行为（包括但不限于扣款环节、扣款项目、扣款金额等）存在任何异议或者疑问，由甲方与付款方协商解决，乙方不承担责任，但乙方可本着诚信原则提供必要协助</w:t>
      </w:r>
      <w:r>
        <w:rPr>
          <w:rFonts w:hint="eastAsia" w:ascii="仿宋_GB2312" w:hAnsi="宋体" w:eastAsia="仿宋_GB2312" w:cs="Times New Roman"/>
          <w:sz w:val="28"/>
          <w:szCs w:val="28"/>
        </w:rPr>
        <w:t>。</w:t>
      </w:r>
    </w:p>
    <w:p w14:paraId="7F618313">
      <w:pPr>
        <w:spacing w:before="156" w:beforeLines="50" w:after="156" w:afterLines="50"/>
        <w:ind w:firstLine="570"/>
        <w:rPr>
          <w:rFonts w:hint="eastAsia" w:ascii="仿宋_GB2312" w:hAnsi="宋体" w:eastAsia="仿宋_GB2312"/>
          <w:sz w:val="28"/>
          <w:szCs w:val="28"/>
        </w:rPr>
      </w:pPr>
      <w:r>
        <w:rPr>
          <w:rFonts w:hint="eastAsia" w:ascii="仿宋_GB2312" w:hAnsi="宋体" w:eastAsia="仿宋_GB2312"/>
          <w:sz w:val="28"/>
          <w:szCs w:val="28"/>
        </w:rPr>
        <w:t>5、乙方有权在职责范围内调查可疑交易活动；对乙方认为甲方代收服务涉及洗钱、恐怖融资、赌博等违法违规活动的，乙方有权单方面提前终止本协议以及与甲方的业务合作。</w:t>
      </w:r>
    </w:p>
    <w:p w14:paraId="5AEE6DB5">
      <w:pPr>
        <w:spacing w:before="156" w:beforeLines="50" w:after="156" w:afterLines="50"/>
        <w:ind w:firstLine="570"/>
        <w:rPr>
          <w:rFonts w:hint="eastAsia" w:ascii="仿宋_GB2312" w:hAnsi="宋体" w:eastAsia="仿宋_GB2312"/>
          <w:sz w:val="28"/>
          <w:szCs w:val="28"/>
        </w:rPr>
      </w:pPr>
      <w:r>
        <w:rPr>
          <w:rFonts w:hint="eastAsia" w:ascii="仿宋_GB2312" w:hAnsi="宋体" w:eastAsia="仿宋_GB2312"/>
          <w:sz w:val="28"/>
          <w:szCs w:val="28"/>
        </w:rPr>
        <w:t>6、对于甲方疑似违规使用代收业务接口，或者伪造、变造代收业务交易信息的，乙方有权调查核实，并有权采取延迟资金结算、暂停甲方代收业务等措施。经查实甲方伪造、变造代收业务交易信息的，乙方有权拒绝办理相关业务，并有权及时将情况报送中国支付清算协会和清算机构；涉嫌违法犯罪的，有权及时报告公安机关。</w:t>
      </w:r>
    </w:p>
    <w:p w14:paraId="26292472">
      <w:pPr>
        <w:spacing w:before="156" w:beforeLines="50" w:after="156" w:afterLines="50"/>
        <w:ind w:firstLine="560" w:firstLineChars="200"/>
        <w:rPr>
          <w:rFonts w:hint="eastAsia" w:ascii="仿宋_GB2312" w:hAnsi="宋体" w:eastAsia="仿宋_GB2312"/>
          <w:sz w:val="28"/>
          <w:szCs w:val="28"/>
        </w:rPr>
      </w:pPr>
      <w:r>
        <w:rPr>
          <w:rFonts w:hint="eastAsia" w:ascii="仿宋_GB2312" w:hAnsi="宋体" w:eastAsia="仿宋_GB2312"/>
          <w:sz w:val="28"/>
          <w:szCs w:val="28"/>
        </w:rPr>
        <w:t>7、对于在代收和扣款过程中，因暂时的网络通讯故障造成的错账现象，乙方有权根据实际交易情况进行账务处理，甲方对此予以认可。</w:t>
      </w:r>
    </w:p>
    <w:p w14:paraId="142A1624">
      <w:pPr>
        <w:spacing w:before="156" w:beforeLines="50" w:after="156" w:afterLines="50"/>
        <w:ind w:firstLine="560" w:firstLineChars="200"/>
        <w:rPr>
          <w:rFonts w:hint="eastAsia" w:ascii="仿宋_GB2312" w:hAnsi="宋体" w:eastAsia="仿宋_GB2312"/>
          <w:sz w:val="28"/>
          <w:szCs w:val="28"/>
        </w:rPr>
      </w:pPr>
      <w:r>
        <w:rPr>
          <w:rFonts w:hint="eastAsia" w:ascii="仿宋_GB2312" w:hAnsi="宋体" w:eastAsia="仿宋_GB2312"/>
          <w:sz w:val="28"/>
          <w:szCs w:val="28"/>
        </w:rPr>
        <w:t>8、如银联等乙方合作机构对甲方拟开通的乙方服务项目有入网或使用标准的，甲方应积极配合提供相关资料以供乙方合作机构审核，若甲方未通过乙方合作机构审核等从而造成乙方无法向甲方提供相应服务的，乙方不承担任何责任。</w:t>
      </w:r>
    </w:p>
    <w:p w14:paraId="2DA00C5D">
      <w:pPr>
        <w:spacing w:before="156" w:beforeLines="50" w:after="156" w:afterLines="50"/>
        <w:ind w:firstLine="560" w:firstLineChars="200"/>
        <w:rPr>
          <w:rFonts w:hint="eastAsia" w:ascii="仿宋_GB2312" w:hAnsi="宋体" w:eastAsia="仿宋_GB2312"/>
          <w:sz w:val="28"/>
          <w:szCs w:val="28"/>
        </w:rPr>
      </w:pPr>
      <w:r>
        <w:rPr>
          <w:rFonts w:hint="eastAsia" w:ascii="仿宋_GB2312" w:hAnsi="宋体" w:eastAsia="仿宋_GB2312"/>
          <w:sz w:val="28"/>
          <w:szCs w:val="28"/>
        </w:rPr>
        <w:t>9、受监管机构或付款方发卡行、银联等合作机构影响，乙方提供的支付结算服务的交易限额等可能发生变化，乙方有权根据合作机构或交易限额等的变化调整向甲方提供的支付结算服务。涉及到合作机构或交易限额等变化的，乙方应至少提前一个工作日以书面通知</w:t>
      </w:r>
      <w:r>
        <w:rPr>
          <w:rFonts w:ascii="仿宋_GB2312" w:hAnsi="宋体" w:eastAsia="仿宋_GB2312"/>
          <w:sz w:val="28"/>
          <w:szCs w:val="28"/>
        </w:rPr>
        <w:t>或公告形式提前通知</w:t>
      </w:r>
      <w:r>
        <w:rPr>
          <w:rFonts w:hint="eastAsia" w:ascii="仿宋_GB2312" w:hAnsi="宋体" w:eastAsia="仿宋_GB2312"/>
          <w:sz w:val="28"/>
          <w:szCs w:val="28"/>
        </w:rPr>
        <w:t>甲方，因监管机构或付款方发卡行或银联或其他机构的原因等导致乙方无法提前一个工作日提前通知甲方的，乙方可应于获知上述变化后通知甲方。</w:t>
      </w:r>
    </w:p>
    <w:p w14:paraId="7830B78C">
      <w:pPr>
        <w:pStyle w:val="25"/>
        <w:ind w:left="0" w:firstLine="560"/>
        <w:rPr>
          <w:rFonts w:hint="eastAsia" w:ascii="仿宋_GB2312" w:hAnsi="宋体" w:eastAsia="仿宋_GB2312" w:cstheme="minorBidi"/>
          <w:kern w:val="2"/>
          <w:szCs w:val="28"/>
        </w:rPr>
      </w:pPr>
      <w:r>
        <w:rPr>
          <w:rFonts w:hint="eastAsia" w:ascii="仿宋_GB2312" w:hAnsi="宋体" w:eastAsia="仿宋_GB2312" w:cstheme="minorBidi"/>
          <w:kern w:val="2"/>
          <w:szCs w:val="28"/>
        </w:rPr>
        <w:t>10、除投标文件及后续书面承诺标明的偏离外，乙方提供的产品和服务均满足竞争性谈判文件要求；</w:t>
      </w:r>
    </w:p>
    <w:p w14:paraId="4E238C55">
      <w:pPr>
        <w:pStyle w:val="25"/>
        <w:ind w:left="0" w:firstLine="560"/>
        <w:rPr>
          <w:rFonts w:hint="eastAsia" w:ascii="仿宋_GB2312" w:hAnsi="宋体" w:eastAsia="仿宋_GB2312" w:cstheme="minorBidi"/>
          <w:kern w:val="2"/>
          <w:szCs w:val="28"/>
        </w:rPr>
      </w:pPr>
      <w:r>
        <w:rPr>
          <w:rFonts w:hint="eastAsia" w:ascii="仿宋_GB2312" w:hAnsi="宋体" w:eastAsia="仿宋_GB2312" w:cstheme="minorBidi"/>
          <w:kern w:val="2"/>
          <w:szCs w:val="28"/>
        </w:rPr>
        <w:t>11、</w:t>
      </w:r>
      <w:r>
        <w:rPr>
          <w:rFonts w:ascii="仿宋_GB2312" w:hAnsi="宋体" w:eastAsia="仿宋_GB2312" w:cstheme="minorBidi"/>
          <w:kern w:val="2"/>
          <w:szCs w:val="28"/>
        </w:rPr>
        <w:t>乙方应按照</w:t>
      </w:r>
      <w:r>
        <w:rPr>
          <w:rFonts w:hint="eastAsia" w:ascii="仿宋_GB2312" w:hAnsi="宋体" w:eastAsia="仿宋_GB2312" w:cstheme="minorBidi"/>
          <w:kern w:val="2"/>
          <w:szCs w:val="28"/>
        </w:rPr>
        <w:t>竞争性谈判文件</w:t>
      </w:r>
      <w:r>
        <w:rPr>
          <w:rFonts w:ascii="仿宋_GB2312" w:hAnsi="宋体" w:eastAsia="仿宋_GB2312" w:cstheme="minorBidi"/>
          <w:kern w:val="2"/>
          <w:szCs w:val="28"/>
        </w:rPr>
        <w:t>、投标文件、乙方后续书面承诺的技术要求以及甲、乙双方协定补充文件，提供合格的产品</w:t>
      </w:r>
      <w:r>
        <w:rPr>
          <w:rFonts w:hint="eastAsia" w:ascii="仿宋_GB2312" w:hAnsi="宋体" w:eastAsia="仿宋_GB2312" w:cstheme="minorBidi"/>
          <w:kern w:val="2"/>
          <w:szCs w:val="28"/>
        </w:rPr>
        <w:t>；</w:t>
      </w:r>
    </w:p>
    <w:p w14:paraId="70C4B778">
      <w:pPr>
        <w:pStyle w:val="25"/>
        <w:ind w:left="0" w:firstLine="560"/>
        <w:rPr>
          <w:rFonts w:hint="eastAsia" w:ascii="仿宋_GB2312" w:hAnsi="宋体" w:eastAsia="仿宋_GB2312" w:cstheme="minorBidi"/>
          <w:kern w:val="2"/>
          <w:szCs w:val="28"/>
        </w:rPr>
      </w:pPr>
      <w:r>
        <w:rPr>
          <w:rFonts w:hint="eastAsia" w:ascii="仿宋_GB2312" w:hAnsi="宋体" w:eastAsia="仿宋_GB2312" w:cstheme="minorBidi"/>
          <w:kern w:val="2"/>
          <w:szCs w:val="28"/>
        </w:rPr>
        <w:t>12、</w:t>
      </w:r>
      <w:r>
        <w:rPr>
          <w:rFonts w:ascii="仿宋_GB2312" w:hAnsi="宋体" w:eastAsia="仿宋_GB2312" w:cstheme="minorBidi"/>
          <w:kern w:val="2"/>
          <w:szCs w:val="28"/>
        </w:rPr>
        <w:t>在系统安装、调试、开发过程中，乙方须保证不影响甲方现有系统的正常运行和现有业务的正常发展</w:t>
      </w:r>
    </w:p>
    <w:p w14:paraId="700728D8">
      <w:pPr>
        <w:widowControl/>
        <w:spacing w:before="100" w:beforeAutospacing="1"/>
        <w:outlineLvl w:val="0"/>
        <w:rPr>
          <w:rFonts w:hint="eastAsia" w:ascii="仿宋_GB2312" w:hAnsi="宋体" w:eastAsia="仿宋_GB2312"/>
          <w:b/>
          <w:snapToGrid w:val="0"/>
          <w:sz w:val="28"/>
          <w:szCs w:val="28"/>
        </w:rPr>
      </w:pPr>
      <w:bookmarkStart w:id="15" w:name="_Toc194067118"/>
      <w:r>
        <w:rPr>
          <w:rFonts w:hint="eastAsia" w:ascii="仿宋_GB2312" w:hAnsi="宋体" w:eastAsia="仿宋_GB2312"/>
          <w:b/>
          <w:snapToGrid w:val="0"/>
          <w:sz w:val="28"/>
          <w:szCs w:val="28"/>
        </w:rPr>
        <w:t>第五条  保密条款</w:t>
      </w:r>
      <w:bookmarkEnd w:id="15"/>
    </w:p>
    <w:p w14:paraId="5DB6D73C">
      <w:pPr>
        <w:spacing w:before="156" w:beforeLines="50" w:after="156" w:afterLines="50"/>
        <w:ind w:firstLine="570"/>
        <w:rPr>
          <w:rFonts w:hint="eastAsia" w:ascii="仿宋_GB2312" w:hAnsi="宋体" w:eastAsia="仿宋_GB2312"/>
          <w:sz w:val="28"/>
          <w:szCs w:val="28"/>
        </w:rPr>
      </w:pPr>
      <w:r>
        <w:rPr>
          <w:rFonts w:hint="eastAsia" w:ascii="仿宋_GB2312" w:hAnsi="宋体" w:eastAsia="仿宋_GB2312"/>
          <w:sz w:val="28"/>
          <w:szCs w:val="28"/>
        </w:rPr>
        <w:t>甲方、乙方提供给对方的所有未公开的信息均属商业秘密，双方均应妥善保管，除了法律法规、监管机构要求或因交易需要向银联等合作机构提供外，不得向第三方提供。但一方依照有关法律法规的规定、有权机关、监管机构或上市的证券交易所的要求进行披露的，不视为对保密义务的违反。</w:t>
      </w:r>
    </w:p>
    <w:p w14:paraId="4A6C00DF">
      <w:pPr>
        <w:widowControl/>
        <w:spacing w:before="100" w:beforeAutospacing="1"/>
        <w:outlineLvl w:val="0"/>
        <w:rPr>
          <w:rFonts w:hint="eastAsia" w:ascii="仿宋_GB2312" w:hAnsi="宋体" w:eastAsia="仿宋_GB2312"/>
          <w:b/>
          <w:snapToGrid w:val="0"/>
          <w:sz w:val="28"/>
          <w:szCs w:val="28"/>
        </w:rPr>
      </w:pPr>
      <w:bookmarkStart w:id="16" w:name="_Toc194067119"/>
      <w:r>
        <w:rPr>
          <w:rFonts w:hint="eastAsia" w:ascii="仿宋_GB2312" w:hAnsi="宋体" w:eastAsia="仿宋_GB2312"/>
          <w:b/>
          <w:snapToGrid w:val="0"/>
          <w:sz w:val="28"/>
          <w:szCs w:val="28"/>
        </w:rPr>
        <w:t>第六条  其他条款</w:t>
      </w:r>
      <w:bookmarkEnd w:id="16"/>
    </w:p>
    <w:p w14:paraId="2C6A5051">
      <w:pPr>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rPr>
        <w:t>本协议的订立、解释及争议的解决均适用中华人民共和国法律（为本协议之目的在此不包括香港特别行政区、澳门特别行政区法律、台湾地区有关规定）。</w:t>
      </w:r>
      <w:r>
        <w:rPr>
          <w:rFonts w:hint="eastAsia" w:ascii="仿宋_GB2312" w:hAnsi="宋体" w:eastAsia="仿宋_GB2312"/>
          <w:sz w:val="28"/>
          <w:szCs w:val="28"/>
        </w:rPr>
        <w:t>甲、乙双方如因本协议引起的或与本协议有关的任何争议，双方应友好协商解决，如双方无法就争议的解决协商一致，则该争议应提交甲方所在地有管辖权的人民法院诉讼解决。</w:t>
      </w:r>
    </w:p>
    <w:p w14:paraId="0597FD16">
      <w:pPr>
        <w:ind w:firstLine="560" w:firstLineChars="200"/>
        <w:rPr>
          <w:rFonts w:hint="eastAsia" w:ascii="仿宋_GB2312" w:hAnsi="宋体" w:eastAsia="仿宋_GB2312"/>
          <w:sz w:val="28"/>
          <w:szCs w:val="28"/>
        </w:rPr>
      </w:pPr>
      <w:r>
        <w:rPr>
          <w:rFonts w:hint="eastAsia" w:ascii="仿宋_GB2312" w:hAnsi="宋体" w:eastAsia="仿宋_GB2312"/>
          <w:sz w:val="28"/>
          <w:szCs w:val="28"/>
        </w:rPr>
        <w:t>2、本协议经双方法定代表人/负责人或其授权代表签字（或签章）并加盖双方公章后生效，有效期至[   ]年[   ]月[   ]日，协议到期双方如无</w:t>
      </w:r>
      <w:r>
        <w:rPr>
          <w:rFonts w:hint="eastAsia" w:ascii="仿宋" w:hAnsi="仿宋" w:eastAsia="仿宋"/>
          <w:sz w:val="28"/>
          <w:szCs w:val="28"/>
        </w:rPr>
        <w:t>书面</w:t>
      </w:r>
      <w:r>
        <w:rPr>
          <w:rFonts w:hint="eastAsia" w:ascii="仿宋_GB2312" w:hAnsi="宋体" w:eastAsia="仿宋_GB2312"/>
          <w:sz w:val="28"/>
          <w:szCs w:val="28"/>
        </w:rPr>
        <w:t>异议，协议自动延续[   ]年，展期届满后仍按上述约定自动展期，展期次数不限。如有异议，异议方需</w:t>
      </w:r>
      <w:r>
        <w:rPr>
          <w:rFonts w:hint="eastAsia" w:ascii="仿宋" w:hAnsi="仿宋" w:eastAsia="仿宋"/>
          <w:sz w:val="28"/>
          <w:szCs w:val="28"/>
        </w:rPr>
        <w:t>至少</w:t>
      </w:r>
      <w:r>
        <w:rPr>
          <w:rFonts w:hint="eastAsia" w:ascii="仿宋_GB2312" w:hAnsi="宋体" w:eastAsia="仿宋_GB2312"/>
          <w:sz w:val="28"/>
          <w:szCs w:val="28"/>
        </w:rPr>
        <w:t>在协议到期前30天内书面通知对方，协议至有效期届满时终止。</w:t>
      </w:r>
    </w:p>
    <w:p w14:paraId="32D4D74F">
      <w:pPr>
        <w:ind w:firstLine="560" w:firstLineChars="200"/>
        <w:rPr>
          <w:rFonts w:hint="eastAsia" w:ascii="仿宋_GB2312" w:hAnsi="宋体" w:eastAsia="仿宋_GB2312"/>
          <w:sz w:val="28"/>
          <w:szCs w:val="28"/>
        </w:rPr>
      </w:pPr>
      <w:r>
        <w:rPr>
          <w:rFonts w:hint="eastAsia" w:ascii="仿宋_GB2312" w:hAnsi="宋体" w:eastAsia="仿宋_GB2312"/>
          <w:sz w:val="28"/>
          <w:szCs w:val="28"/>
        </w:rPr>
        <w:t>3、若遇国家行政管理部门、司法机关政策、监管政策调整对本协议的履行造成严重影响的，受影响方应及时通知对方，由双方协商议定，如协商不能达成一致的，任何一方有权经书面通知对方后终止本协议。</w:t>
      </w:r>
    </w:p>
    <w:p w14:paraId="132AF222">
      <w:pPr>
        <w:ind w:left="1"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4、本协议一式</w:t>
      </w:r>
      <w:r>
        <w:rPr>
          <w:rFonts w:ascii="仿宋_GB2312" w:hAnsi="宋体" w:eastAsia="仿宋_GB2312"/>
          <w:sz w:val="28"/>
          <w:szCs w:val="28"/>
        </w:rPr>
        <w:t>肆</w:t>
      </w:r>
      <w:r>
        <w:rPr>
          <w:rFonts w:hint="eastAsia" w:ascii="仿宋_GB2312" w:hAnsi="宋体" w:eastAsia="仿宋_GB2312"/>
          <w:sz w:val="28"/>
          <w:szCs w:val="28"/>
        </w:rPr>
        <w:t>份，双方各执贰份，均具同等法律效力。</w:t>
      </w:r>
    </w:p>
    <w:p w14:paraId="7102A510">
      <w:pPr>
        <w:pStyle w:val="25"/>
        <w:ind w:firstLine="560"/>
      </w:pPr>
      <w:r>
        <w:rPr>
          <w:rFonts w:hint="eastAsia"/>
        </w:rPr>
        <w:br w:type="page"/>
      </w:r>
    </w:p>
    <w:p w14:paraId="616101FC">
      <w:pPr>
        <w:snapToGrid w:val="0"/>
        <w:spacing w:line="360" w:lineRule="auto"/>
        <w:ind w:firstLine="482"/>
        <w:jc w:val="center"/>
        <w:rPr>
          <w:rFonts w:hint="eastAsia" w:ascii="仿宋" w:hAnsi="仿宋" w:eastAsia="仿宋"/>
          <w:b/>
          <w:sz w:val="24"/>
        </w:rPr>
      </w:pPr>
      <w:bookmarkStart w:id="17" w:name="_Hlk83288124"/>
      <w:bookmarkStart w:id="18" w:name="_Toc246495346"/>
      <w:r>
        <w:rPr>
          <w:rFonts w:hint="eastAsia" w:ascii="仿宋" w:hAnsi="仿宋" w:eastAsia="仿宋"/>
          <w:b/>
          <w:sz w:val="24"/>
        </w:rPr>
        <w:t>签 署 页</w:t>
      </w:r>
    </w:p>
    <w:tbl>
      <w:tblPr>
        <w:tblStyle w:val="26"/>
        <w:tblW w:w="8688" w:type="dxa"/>
        <w:jc w:val="center"/>
        <w:tblLayout w:type="fixed"/>
        <w:tblCellMar>
          <w:top w:w="0" w:type="dxa"/>
          <w:left w:w="108" w:type="dxa"/>
          <w:bottom w:w="0" w:type="dxa"/>
          <w:right w:w="108" w:type="dxa"/>
        </w:tblCellMar>
      </w:tblPr>
      <w:tblGrid>
        <w:gridCol w:w="4368"/>
        <w:gridCol w:w="4320"/>
      </w:tblGrid>
      <w:tr w14:paraId="7C0A628B">
        <w:tblPrEx>
          <w:tblCellMar>
            <w:top w:w="0" w:type="dxa"/>
            <w:left w:w="108" w:type="dxa"/>
            <w:bottom w:w="0" w:type="dxa"/>
            <w:right w:w="108" w:type="dxa"/>
          </w:tblCellMar>
        </w:tblPrEx>
        <w:trPr>
          <w:cantSplit/>
          <w:jc w:val="center"/>
        </w:trPr>
        <w:tc>
          <w:tcPr>
            <w:tcW w:w="4368" w:type="dxa"/>
            <w:vAlign w:val="center"/>
          </w:tcPr>
          <w:p w14:paraId="61960CF7">
            <w:pPr>
              <w:snapToGrid w:val="0"/>
              <w:spacing w:line="360" w:lineRule="auto"/>
              <w:ind w:firstLine="480"/>
              <w:jc w:val="left"/>
              <w:rPr>
                <w:rFonts w:hint="eastAsia" w:ascii="仿宋" w:hAnsi="仿宋" w:eastAsia="仿宋"/>
                <w:sz w:val="24"/>
              </w:rPr>
            </w:pPr>
          </w:p>
          <w:p w14:paraId="547C5990">
            <w:pPr>
              <w:snapToGrid w:val="0"/>
              <w:spacing w:line="360" w:lineRule="auto"/>
              <w:ind w:firstLine="480"/>
              <w:jc w:val="left"/>
              <w:rPr>
                <w:rFonts w:hint="eastAsia" w:ascii="仿宋" w:hAnsi="仿宋" w:eastAsia="仿宋"/>
                <w:sz w:val="24"/>
              </w:rPr>
            </w:pPr>
            <w:r>
              <w:rPr>
                <w:rFonts w:hint="eastAsia" w:ascii="仿宋" w:hAnsi="仿宋" w:eastAsia="仿宋"/>
                <w:sz w:val="24"/>
              </w:rPr>
              <w:t xml:space="preserve">甲方： </w:t>
            </w:r>
            <w:r>
              <w:rPr>
                <w:rFonts w:ascii="仿宋" w:hAnsi="仿宋" w:eastAsia="仿宋"/>
                <w:sz w:val="24"/>
              </w:rPr>
              <w:t xml:space="preserve">                   </w:t>
            </w:r>
          </w:p>
          <w:p w14:paraId="4184D07D">
            <w:pPr>
              <w:snapToGrid w:val="0"/>
              <w:spacing w:line="360" w:lineRule="auto"/>
              <w:ind w:firstLine="480"/>
              <w:jc w:val="left"/>
              <w:rPr>
                <w:rFonts w:hint="eastAsia" w:ascii="仿宋" w:hAnsi="仿宋" w:eastAsia="仿宋"/>
                <w:sz w:val="24"/>
              </w:rPr>
            </w:pPr>
            <w:r>
              <w:rPr>
                <w:rFonts w:hint="eastAsia" w:ascii="仿宋" w:hAnsi="仿宋" w:eastAsia="仿宋"/>
                <w:sz w:val="24"/>
              </w:rPr>
              <w:t xml:space="preserve">（盖章）     </w:t>
            </w:r>
          </w:p>
          <w:p w14:paraId="1F3F29D2">
            <w:pPr>
              <w:snapToGrid w:val="0"/>
              <w:spacing w:line="360" w:lineRule="auto"/>
              <w:ind w:firstLine="480"/>
              <w:jc w:val="left"/>
              <w:rPr>
                <w:rFonts w:hint="eastAsia" w:ascii="仿宋" w:hAnsi="仿宋" w:eastAsia="仿宋"/>
                <w:sz w:val="24"/>
              </w:rPr>
            </w:pPr>
          </w:p>
        </w:tc>
        <w:tc>
          <w:tcPr>
            <w:tcW w:w="4320" w:type="dxa"/>
            <w:vAlign w:val="center"/>
          </w:tcPr>
          <w:p w14:paraId="55343208">
            <w:pPr>
              <w:snapToGrid w:val="0"/>
              <w:spacing w:line="360" w:lineRule="auto"/>
              <w:ind w:firstLine="480"/>
              <w:jc w:val="left"/>
              <w:rPr>
                <w:rFonts w:hint="eastAsia" w:ascii="仿宋" w:hAnsi="仿宋" w:eastAsia="仿宋"/>
                <w:sz w:val="24"/>
              </w:rPr>
            </w:pPr>
          </w:p>
          <w:p w14:paraId="4E704774">
            <w:pPr>
              <w:snapToGrid w:val="0"/>
              <w:spacing w:line="360" w:lineRule="auto"/>
              <w:ind w:firstLine="480"/>
              <w:jc w:val="left"/>
              <w:rPr>
                <w:rFonts w:hint="eastAsia" w:ascii="仿宋" w:hAnsi="仿宋" w:eastAsia="仿宋"/>
                <w:sz w:val="24"/>
              </w:rPr>
            </w:pPr>
            <w:r>
              <w:rPr>
                <w:rFonts w:hint="eastAsia" w:ascii="仿宋" w:hAnsi="仿宋" w:eastAsia="仿宋"/>
                <w:sz w:val="24"/>
              </w:rPr>
              <w:t xml:space="preserve">乙方： </w:t>
            </w:r>
            <w:r>
              <w:rPr>
                <w:rFonts w:ascii="仿宋" w:hAnsi="仿宋" w:eastAsia="仿宋"/>
                <w:sz w:val="24"/>
              </w:rPr>
              <w:t xml:space="preserve">                   </w:t>
            </w:r>
            <w:r>
              <w:rPr>
                <w:rFonts w:hint="eastAsia" w:ascii="仿宋" w:hAnsi="仿宋" w:eastAsia="仿宋"/>
                <w:sz w:val="24"/>
              </w:rPr>
              <w:t xml:space="preserve"> </w:t>
            </w:r>
          </w:p>
          <w:p w14:paraId="44721238">
            <w:pPr>
              <w:snapToGrid w:val="0"/>
              <w:spacing w:line="360" w:lineRule="auto"/>
              <w:ind w:firstLine="480"/>
              <w:jc w:val="left"/>
              <w:rPr>
                <w:rFonts w:hint="eastAsia" w:ascii="仿宋" w:hAnsi="仿宋" w:eastAsia="仿宋"/>
                <w:sz w:val="24"/>
              </w:rPr>
            </w:pPr>
            <w:r>
              <w:rPr>
                <w:rFonts w:hint="eastAsia" w:ascii="仿宋" w:hAnsi="仿宋" w:eastAsia="仿宋"/>
                <w:sz w:val="24"/>
              </w:rPr>
              <w:t>（盖章）</w:t>
            </w:r>
          </w:p>
          <w:p w14:paraId="6731C974">
            <w:pPr>
              <w:snapToGrid w:val="0"/>
              <w:spacing w:line="360" w:lineRule="auto"/>
              <w:ind w:firstLine="480"/>
              <w:jc w:val="left"/>
              <w:rPr>
                <w:rFonts w:hint="eastAsia" w:ascii="仿宋" w:hAnsi="仿宋" w:eastAsia="仿宋"/>
                <w:sz w:val="24"/>
              </w:rPr>
            </w:pPr>
          </w:p>
        </w:tc>
      </w:tr>
      <w:tr w14:paraId="59BA27DE">
        <w:tblPrEx>
          <w:tblCellMar>
            <w:top w:w="0" w:type="dxa"/>
            <w:left w:w="108" w:type="dxa"/>
            <w:bottom w:w="0" w:type="dxa"/>
            <w:right w:w="108" w:type="dxa"/>
          </w:tblCellMar>
        </w:tblPrEx>
        <w:trPr>
          <w:jc w:val="center"/>
        </w:trPr>
        <w:tc>
          <w:tcPr>
            <w:tcW w:w="4368" w:type="dxa"/>
            <w:vAlign w:val="bottom"/>
          </w:tcPr>
          <w:p w14:paraId="357374EB">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法定代表人(负责人)或</w:t>
            </w:r>
          </w:p>
          <w:p w14:paraId="2959301E">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授权代表（签字）： </w:t>
            </w:r>
            <w:r>
              <w:rPr>
                <w:rFonts w:ascii="仿宋" w:hAnsi="仿宋" w:eastAsia="仿宋"/>
                <w:color w:val="000000"/>
                <w:sz w:val="24"/>
                <w:szCs w:val="24"/>
              </w:rPr>
              <w:t xml:space="preserve">       </w:t>
            </w:r>
          </w:p>
        </w:tc>
        <w:tc>
          <w:tcPr>
            <w:tcW w:w="4320" w:type="dxa"/>
            <w:vAlign w:val="bottom"/>
          </w:tcPr>
          <w:p w14:paraId="5D97B315">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法定代表人(负责人)或</w:t>
            </w:r>
          </w:p>
          <w:p w14:paraId="1FBE11B6">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授权代表（签字）： </w:t>
            </w:r>
            <w:r>
              <w:rPr>
                <w:rFonts w:ascii="仿宋" w:hAnsi="仿宋" w:eastAsia="仿宋"/>
                <w:color w:val="000000"/>
                <w:sz w:val="24"/>
                <w:szCs w:val="24"/>
              </w:rPr>
              <w:t xml:space="preserve">       </w:t>
            </w:r>
          </w:p>
        </w:tc>
      </w:tr>
      <w:tr w14:paraId="2C501004">
        <w:tblPrEx>
          <w:tblCellMar>
            <w:top w:w="0" w:type="dxa"/>
            <w:left w:w="108" w:type="dxa"/>
            <w:bottom w:w="0" w:type="dxa"/>
            <w:right w:w="108" w:type="dxa"/>
          </w:tblCellMar>
        </w:tblPrEx>
        <w:trPr>
          <w:jc w:val="center"/>
        </w:trPr>
        <w:tc>
          <w:tcPr>
            <w:tcW w:w="4368" w:type="dxa"/>
            <w:vAlign w:val="center"/>
          </w:tcPr>
          <w:p w14:paraId="559844B1">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签订日期： </w:t>
            </w:r>
            <w:r>
              <w:rPr>
                <w:rFonts w:ascii="仿宋" w:hAnsi="仿宋" w:eastAsia="仿宋"/>
                <w:color w:val="000000"/>
                <w:sz w:val="24"/>
                <w:szCs w:val="24"/>
              </w:rPr>
              <w:t xml:space="preserve">   </w:t>
            </w:r>
            <w:r>
              <w:rPr>
                <w:rFonts w:hint="eastAsia" w:ascii="仿宋" w:hAnsi="仿宋" w:eastAsia="仿宋"/>
                <w:color w:val="000000"/>
                <w:sz w:val="24"/>
                <w:szCs w:val="24"/>
              </w:rPr>
              <w:t xml:space="preserve">年  </w:t>
            </w:r>
            <w:r>
              <w:rPr>
                <w:rFonts w:ascii="仿宋" w:hAnsi="仿宋" w:eastAsia="仿宋"/>
                <w:color w:val="000000"/>
                <w:sz w:val="24"/>
                <w:szCs w:val="24"/>
              </w:rPr>
              <w:t xml:space="preserve"> </w:t>
            </w:r>
            <w:r>
              <w:rPr>
                <w:rFonts w:hint="eastAsia" w:ascii="仿宋" w:hAnsi="仿宋" w:eastAsia="仿宋"/>
                <w:color w:val="000000"/>
                <w:sz w:val="24"/>
                <w:szCs w:val="24"/>
              </w:rPr>
              <w:t xml:space="preserve">月 </w:t>
            </w:r>
            <w:r>
              <w:rPr>
                <w:rFonts w:ascii="仿宋" w:hAnsi="仿宋" w:eastAsia="仿宋"/>
                <w:color w:val="000000"/>
                <w:sz w:val="24"/>
                <w:szCs w:val="24"/>
              </w:rPr>
              <w:t xml:space="preserve">  </w:t>
            </w:r>
            <w:r>
              <w:rPr>
                <w:rFonts w:hint="eastAsia" w:ascii="仿宋" w:hAnsi="仿宋" w:eastAsia="仿宋"/>
                <w:color w:val="000000"/>
                <w:sz w:val="24"/>
                <w:szCs w:val="24"/>
              </w:rPr>
              <w:t>日</w:t>
            </w:r>
          </w:p>
        </w:tc>
        <w:tc>
          <w:tcPr>
            <w:tcW w:w="4320" w:type="dxa"/>
            <w:vAlign w:val="center"/>
          </w:tcPr>
          <w:p w14:paraId="4D901A5C">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签订日期： </w:t>
            </w:r>
            <w:r>
              <w:rPr>
                <w:rFonts w:ascii="仿宋" w:hAnsi="仿宋" w:eastAsia="仿宋"/>
                <w:color w:val="000000"/>
                <w:sz w:val="24"/>
                <w:szCs w:val="24"/>
              </w:rPr>
              <w:t xml:space="preserve">   </w:t>
            </w:r>
            <w:r>
              <w:rPr>
                <w:rFonts w:hint="eastAsia" w:ascii="仿宋" w:hAnsi="仿宋" w:eastAsia="仿宋"/>
                <w:color w:val="000000"/>
                <w:sz w:val="24"/>
                <w:szCs w:val="24"/>
              </w:rPr>
              <w:t xml:space="preserve">年 </w:t>
            </w:r>
            <w:r>
              <w:rPr>
                <w:rFonts w:ascii="仿宋" w:hAnsi="仿宋" w:eastAsia="仿宋"/>
                <w:color w:val="000000"/>
                <w:sz w:val="24"/>
                <w:szCs w:val="24"/>
              </w:rPr>
              <w:t xml:space="preserve">  </w:t>
            </w:r>
            <w:r>
              <w:rPr>
                <w:rFonts w:hint="eastAsia" w:ascii="仿宋" w:hAnsi="仿宋" w:eastAsia="仿宋"/>
                <w:color w:val="000000"/>
                <w:sz w:val="24"/>
                <w:szCs w:val="24"/>
              </w:rPr>
              <w:t xml:space="preserve">月 </w:t>
            </w:r>
            <w:r>
              <w:rPr>
                <w:rFonts w:ascii="仿宋" w:hAnsi="仿宋" w:eastAsia="仿宋"/>
                <w:color w:val="000000"/>
                <w:sz w:val="24"/>
                <w:szCs w:val="24"/>
              </w:rPr>
              <w:t xml:space="preserve">  </w:t>
            </w:r>
            <w:r>
              <w:rPr>
                <w:rFonts w:hint="eastAsia" w:ascii="仿宋" w:hAnsi="仿宋" w:eastAsia="仿宋"/>
                <w:color w:val="000000"/>
                <w:sz w:val="24"/>
                <w:szCs w:val="24"/>
              </w:rPr>
              <w:t>日</w:t>
            </w:r>
          </w:p>
        </w:tc>
      </w:tr>
      <w:tr w14:paraId="07B50FB8">
        <w:tblPrEx>
          <w:tblCellMar>
            <w:top w:w="0" w:type="dxa"/>
            <w:left w:w="108" w:type="dxa"/>
            <w:bottom w:w="0" w:type="dxa"/>
            <w:right w:w="108" w:type="dxa"/>
          </w:tblCellMar>
        </w:tblPrEx>
        <w:trPr>
          <w:jc w:val="center"/>
        </w:trPr>
        <w:tc>
          <w:tcPr>
            <w:tcW w:w="4368" w:type="dxa"/>
            <w:vAlign w:val="center"/>
          </w:tcPr>
          <w:p w14:paraId="16834611">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联系人： </w:t>
            </w:r>
            <w:r>
              <w:rPr>
                <w:rFonts w:ascii="仿宋" w:hAnsi="仿宋" w:eastAsia="仿宋"/>
                <w:color w:val="000000"/>
                <w:sz w:val="24"/>
                <w:szCs w:val="24"/>
              </w:rPr>
              <w:t xml:space="preserve">                 </w:t>
            </w:r>
          </w:p>
        </w:tc>
        <w:tc>
          <w:tcPr>
            <w:tcW w:w="4320" w:type="dxa"/>
            <w:vAlign w:val="center"/>
          </w:tcPr>
          <w:p w14:paraId="4523C122">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联系人： </w:t>
            </w:r>
            <w:r>
              <w:rPr>
                <w:rFonts w:ascii="仿宋" w:hAnsi="仿宋" w:eastAsia="仿宋"/>
                <w:color w:val="000000"/>
                <w:sz w:val="24"/>
                <w:szCs w:val="24"/>
              </w:rPr>
              <w:t xml:space="preserve">                 </w:t>
            </w:r>
          </w:p>
        </w:tc>
      </w:tr>
      <w:tr w14:paraId="590E00FA">
        <w:tblPrEx>
          <w:tblCellMar>
            <w:top w:w="0" w:type="dxa"/>
            <w:left w:w="108" w:type="dxa"/>
            <w:bottom w:w="0" w:type="dxa"/>
            <w:right w:w="108" w:type="dxa"/>
          </w:tblCellMar>
        </w:tblPrEx>
        <w:trPr>
          <w:jc w:val="center"/>
        </w:trPr>
        <w:tc>
          <w:tcPr>
            <w:tcW w:w="4368" w:type="dxa"/>
            <w:vAlign w:val="center"/>
          </w:tcPr>
          <w:p w14:paraId="4828BB91">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联系地址： </w:t>
            </w:r>
            <w:r>
              <w:rPr>
                <w:rFonts w:ascii="仿宋" w:hAnsi="仿宋" w:eastAsia="仿宋"/>
                <w:color w:val="000000"/>
                <w:sz w:val="24"/>
                <w:szCs w:val="24"/>
              </w:rPr>
              <w:t xml:space="preserve">               </w:t>
            </w:r>
          </w:p>
        </w:tc>
        <w:tc>
          <w:tcPr>
            <w:tcW w:w="4320" w:type="dxa"/>
            <w:vAlign w:val="center"/>
          </w:tcPr>
          <w:p w14:paraId="5DB08C94">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联系地址： </w:t>
            </w:r>
            <w:r>
              <w:rPr>
                <w:rFonts w:ascii="仿宋" w:hAnsi="仿宋" w:eastAsia="仿宋"/>
                <w:color w:val="000000"/>
                <w:sz w:val="24"/>
                <w:szCs w:val="24"/>
              </w:rPr>
              <w:t xml:space="preserve">               </w:t>
            </w:r>
          </w:p>
        </w:tc>
      </w:tr>
      <w:tr w14:paraId="56DF951C">
        <w:tblPrEx>
          <w:tblCellMar>
            <w:top w:w="0" w:type="dxa"/>
            <w:left w:w="108" w:type="dxa"/>
            <w:bottom w:w="0" w:type="dxa"/>
            <w:right w:w="108" w:type="dxa"/>
          </w:tblCellMar>
        </w:tblPrEx>
        <w:trPr>
          <w:jc w:val="center"/>
        </w:trPr>
        <w:tc>
          <w:tcPr>
            <w:tcW w:w="4368" w:type="dxa"/>
            <w:vAlign w:val="center"/>
          </w:tcPr>
          <w:p w14:paraId="0948504A">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联系电话： </w:t>
            </w:r>
            <w:r>
              <w:rPr>
                <w:rFonts w:ascii="仿宋" w:hAnsi="仿宋" w:eastAsia="仿宋"/>
                <w:color w:val="000000"/>
                <w:sz w:val="24"/>
                <w:szCs w:val="24"/>
              </w:rPr>
              <w:t xml:space="preserve">               </w:t>
            </w:r>
          </w:p>
        </w:tc>
        <w:tc>
          <w:tcPr>
            <w:tcW w:w="4320" w:type="dxa"/>
            <w:vAlign w:val="center"/>
          </w:tcPr>
          <w:p w14:paraId="363CD5B7">
            <w:pPr>
              <w:pStyle w:val="69"/>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 xml:space="preserve">联系电话： </w:t>
            </w:r>
            <w:r>
              <w:rPr>
                <w:rFonts w:ascii="仿宋" w:hAnsi="仿宋" w:eastAsia="仿宋"/>
                <w:color w:val="000000"/>
                <w:sz w:val="24"/>
                <w:szCs w:val="24"/>
              </w:rPr>
              <w:t xml:space="preserve">               </w:t>
            </w:r>
          </w:p>
        </w:tc>
      </w:tr>
      <w:tr w14:paraId="62696EED">
        <w:tblPrEx>
          <w:tblCellMar>
            <w:top w:w="0" w:type="dxa"/>
            <w:left w:w="108" w:type="dxa"/>
            <w:bottom w:w="0" w:type="dxa"/>
            <w:right w:w="108" w:type="dxa"/>
          </w:tblCellMar>
        </w:tblPrEx>
        <w:trPr>
          <w:jc w:val="center"/>
        </w:trPr>
        <w:tc>
          <w:tcPr>
            <w:tcW w:w="4368" w:type="dxa"/>
            <w:vAlign w:val="center"/>
          </w:tcPr>
          <w:p w14:paraId="5A6845E3">
            <w:pPr>
              <w:pStyle w:val="69"/>
              <w:spacing w:line="360" w:lineRule="auto"/>
              <w:ind w:firstLine="480"/>
              <w:rPr>
                <w:rFonts w:hint="eastAsia" w:ascii="仿宋" w:hAnsi="仿宋" w:eastAsia="仿宋"/>
                <w:color w:val="000000"/>
                <w:sz w:val="24"/>
                <w:szCs w:val="24"/>
              </w:rPr>
            </w:pPr>
            <w:r>
              <w:rPr>
                <w:rFonts w:hint="eastAsia" w:ascii="仿宋" w:hAnsi="仿宋" w:eastAsia="仿宋"/>
                <w:sz w:val="24"/>
                <w:szCs w:val="24"/>
              </w:rPr>
              <w:t>统一社会信用代码</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p>
        </w:tc>
        <w:tc>
          <w:tcPr>
            <w:tcW w:w="4320" w:type="dxa"/>
            <w:vAlign w:val="center"/>
          </w:tcPr>
          <w:p w14:paraId="6D4DF2D3">
            <w:pPr>
              <w:pStyle w:val="69"/>
              <w:spacing w:line="360" w:lineRule="auto"/>
              <w:ind w:firstLine="480"/>
              <w:rPr>
                <w:rFonts w:hint="eastAsia" w:ascii="仿宋" w:hAnsi="仿宋" w:eastAsia="仿宋"/>
                <w:color w:val="000000"/>
                <w:sz w:val="24"/>
                <w:szCs w:val="24"/>
              </w:rPr>
            </w:pPr>
            <w:r>
              <w:rPr>
                <w:rFonts w:hint="eastAsia" w:ascii="仿宋" w:hAnsi="仿宋" w:eastAsia="仿宋"/>
                <w:sz w:val="24"/>
                <w:szCs w:val="24"/>
              </w:rPr>
              <w:t>统一社会信用代码</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p>
        </w:tc>
      </w:tr>
      <w:tr w14:paraId="3ECB039D">
        <w:tblPrEx>
          <w:tblCellMar>
            <w:top w:w="0" w:type="dxa"/>
            <w:left w:w="108" w:type="dxa"/>
            <w:bottom w:w="0" w:type="dxa"/>
            <w:right w:w="108" w:type="dxa"/>
          </w:tblCellMar>
        </w:tblPrEx>
        <w:trPr>
          <w:jc w:val="center"/>
        </w:trPr>
        <w:tc>
          <w:tcPr>
            <w:tcW w:w="4368" w:type="dxa"/>
            <w:vAlign w:val="center"/>
          </w:tcPr>
          <w:p w14:paraId="01D1780E">
            <w:pPr>
              <w:pStyle w:val="69"/>
              <w:spacing w:line="360" w:lineRule="auto"/>
              <w:ind w:firstLine="480"/>
              <w:rPr>
                <w:rFonts w:hint="eastAsia" w:ascii="仿宋" w:hAnsi="仿宋" w:eastAsia="仿宋"/>
                <w:color w:val="000000"/>
                <w:sz w:val="24"/>
                <w:szCs w:val="24"/>
              </w:rPr>
            </w:pPr>
          </w:p>
        </w:tc>
        <w:tc>
          <w:tcPr>
            <w:tcW w:w="4320" w:type="dxa"/>
            <w:vAlign w:val="center"/>
          </w:tcPr>
          <w:p w14:paraId="5BF77186">
            <w:pPr>
              <w:pStyle w:val="69"/>
              <w:spacing w:line="360" w:lineRule="auto"/>
              <w:ind w:firstLine="480"/>
              <w:rPr>
                <w:rFonts w:hint="eastAsia" w:ascii="仿宋" w:hAnsi="仿宋" w:eastAsia="仿宋"/>
                <w:color w:val="000000"/>
                <w:sz w:val="24"/>
                <w:szCs w:val="24"/>
              </w:rPr>
            </w:pPr>
          </w:p>
        </w:tc>
      </w:tr>
      <w:bookmarkEnd w:id="17"/>
      <w:bookmarkEnd w:id="18"/>
    </w:tbl>
    <w:p w14:paraId="7FE077CD">
      <w:pPr>
        <w:pStyle w:val="25"/>
        <w:ind w:firstLine="560"/>
      </w:pPr>
    </w:p>
    <w:p w14:paraId="0C96D064">
      <w:pPr>
        <w:pStyle w:val="25"/>
        <w:ind w:firstLine="560"/>
      </w:pPr>
      <w:r>
        <w:br w:type="page"/>
      </w:r>
    </w:p>
    <w:p w14:paraId="0DC97965">
      <w:pPr>
        <w:widowControl/>
        <w:jc w:val="left"/>
        <w:rPr>
          <w:rFonts w:ascii="Times New Roman" w:hAnsi="Times New Roman" w:eastAsia="宋体" w:cs="Times New Roman"/>
        </w:rPr>
      </w:pPr>
    </w:p>
    <w:p w14:paraId="7C7ADFF1">
      <w:pPr>
        <w:keepNext/>
        <w:keepLines/>
        <w:spacing w:before="312" w:beforeLines="100" w:after="312" w:afterLines="100" w:line="360" w:lineRule="auto"/>
        <w:jc w:val="center"/>
        <w:outlineLvl w:val="0"/>
        <w:rPr>
          <w:rFonts w:ascii="Times New Roman" w:hAnsi="Times New Roman" w:eastAsia="黑体" w:cs="Times New Roman"/>
          <w:kern w:val="44"/>
          <w:sz w:val="36"/>
          <w:szCs w:val="36"/>
          <w:u w:color="000000"/>
          <w:lang w:val="zh-TW"/>
        </w:rPr>
      </w:pPr>
      <w:bookmarkStart w:id="19" w:name="_Toc194067120"/>
      <w:r>
        <w:rPr>
          <w:rFonts w:hint="eastAsia" w:ascii="宋体" w:hAnsi="宋体"/>
          <w:b/>
          <w:szCs w:val="21"/>
        </w:rPr>
        <w:t xml:space="preserve">★ </w:t>
      </w:r>
      <w:r>
        <w:rPr>
          <w:rFonts w:ascii="Times New Roman" w:hAnsi="Times New Roman" w:eastAsia="黑体" w:cs="Times New Roman"/>
          <w:kern w:val="44"/>
          <w:sz w:val="36"/>
          <w:szCs w:val="36"/>
          <w:u w:color="000000"/>
          <w:lang w:val="zh-TW" w:eastAsia="zh-TW"/>
        </w:rPr>
        <w:t>第</w:t>
      </w:r>
      <w:r>
        <w:rPr>
          <w:rFonts w:ascii="Times New Roman" w:hAnsi="Times New Roman" w:eastAsia="黑体" w:cs="Times New Roman"/>
          <w:kern w:val="44"/>
          <w:sz w:val="36"/>
          <w:szCs w:val="36"/>
          <w:u w:color="000000"/>
          <w:lang w:val="zh-TW"/>
        </w:rPr>
        <w:t>五</w:t>
      </w:r>
      <w:r>
        <w:rPr>
          <w:rFonts w:ascii="Times New Roman" w:hAnsi="Times New Roman" w:eastAsia="黑体" w:cs="Times New Roman"/>
          <w:kern w:val="44"/>
          <w:sz w:val="36"/>
          <w:szCs w:val="36"/>
          <w:u w:color="000000"/>
          <w:lang w:val="zh-TW" w:eastAsia="zh-TW"/>
        </w:rPr>
        <w:t xml:space="preserve">章  </w:t>
      </w:r>
      <w:r>
        <w:rPr>
          <w:rFonts w:ascii="Times New Roman" w:hAnsi="Times New Roman" w:eastAsia="黑体" w:cs="Times New Roman"/>
          <w:kern w:val="44"/>
          <w:sz w:val="36"/>
          <w:szCs w:val="36"/>
          <w:u w:color="000000"/>
          <w:lang w:val="zh-TW"/>
        </w:rPr>
        <w:t>技术需求书</w:t>
      </w:r>
      <w:bookmarkEnd w:id="19"/>
    </w:p>
    <w:p w14:paraId="0EA97F37">
      <w:pPr>
        <w:pStyle w:val="4"/>
        <w:keepLines w:val="0"/>
        <w:numPr>
          <w:ilvl w:val="1"/>
          <w:numId w:val="3"/>
        </w:numPr>
        <w:spacing w:before="0" w:after="0" w:line="360" w:lineRule="auto"/>
        <w:ind w:left="357" w:hanging="357"/>
        <w:rPr>
          <w:rFonts w:hint="eastAsia" w:ascii="宋体" w:hAnsi="宋体" w:eastAsia="宋体" w:cs="Arial"/>
          <w:sz w:val="24"/>
          <w:szCs w:val="24"/>
        </w:rPr>
      </w:pPr>
      <w:bookmarkStart w:id="20" w:name="_Toc194067121"/>
      <w:r>
        <w:rPr>
          <w:rFonts w:hint="eastAsia" w:ascii="宋体" w:hAnsi="宋体" w:eastAsia="宋体" w:cs="Arial"/>
          <w:sz w:val="24"/>
          <w:szCs w:val="24"/>
        </w:rPr>
        <w:t>项目背景目标及实施范围</w:t>
      </w:r>
      <w:r>
        <w:rPr>
          <w:rFonts w:ascii="Times New Roman" w:hAnsi="Times New Roman" w:eastAsia="宋体"/>
          <w:szCs w:val="21"/>
        </w:rPr>
        <w:t>：</w:t>
      </w:r>
      <w:bookmarkEnd w:id="20"/>
      <w:r>
        <w:rPr>
          <w:rFonts w:ascii="Times New Roman" w:hAnsi="Times New Roman" w:eastAsia="宋体"/>
          <w:szCs w:val="21"/>
        </w:rPr>
        <w:t xml:space="preserve"> </w:t>
      </w:r>
    </w:p>
    <w:p w14:paraId="2A358356">
      <w:pPr>
        <w:pStyle w:val="36"/>
        <w:numPr>
          <w:ilvl w:val="2"/>
          <w:numId w:val="3"/>
        </w:numPr>
        <w:ind w:firstLineChars="0"/>
        <w:jc w:val="both"/>
        <w:outlineLvl w:val="2"/>
        <w:rPr>
          <w:rFonts w:eastAsiaTheme="minorEastAsia"/>
          <w:b/>
          <w:bCs/>
          <w:sz w:val="21"/>
          <w:szCs w:val="22"/>
        </w:rPr>
      </w:pPr>
      <w:bookmarkStart w:id="21" w:name="_Toc194067122"/>
      <w:r>
        <w:rPr>
          <w:rFonts w:eastAsiaTheme="minorEastAsia"/>
          <w:b/>
          <w:bCs/>
          <w:sz w:val="21"/>
          <w:szCs w:val="22"/>
        </w:rPr>
        <w:t>项目背景</w:t>
      </w:r>
      <w:bookmarkEnd w:id="21"/>
    </w:p>
    <w:p w14:paraId="61FC541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江苏有线银行代扣业务截止目前已经基本实现通过统一接口方式与省内主要大行及城商行实现银行代扣代缴业务对接，然而各地市公司发展银行代扣签约客户的比例却不高，且由于与各家银行单独对接，无法形成统一的代扣策略，各家银行服务标准也不统一，对接开发、维护成本也较高。</w:t>
      </w:r>
    </w:p>
    <w:p w14:paraId="2A3AA14B">
      <w:pPr>
        <w:pStyle w:val="36"/>
        <w:numPr>
          <w:ilvl w:val="2"/>
          <w:numId w:val="3"/>
        </w:numPr>
        <w:ind w:firstLineChars="0"/>
        <w:jc w:val="both"/>
        <w:outlineLvl w:val="2"/>
        <w:rPr>
          <w:rFonts w:eastAsiaTheme="minorEastAsia"/>
          <w:b/>
          <w:bCs/>
          <w:sz w:val="21"/>
          <w:szCs w:val="22"/>
        </w:rPr>
      </w:pPr>
      <w:bookmarkStart w:id="22" w:name="_Toc194067123"/>
      <w:r>
        <w:rPr>
          <w:rFonts w:eastAsiaTheme="minorEastAsia"/>
          <w:b/>
          <w:bCs/>
          <w:sz w:val="21"/>
          <w:szCs w:val="22"/>
        </w:rPr>
        <w:t>项目</w:t>
      </w:r>
      <w:r>
        <w:rPr>
          <w:rFonts w:eastAsiaTheme="minorEastAsia"/>
          <w:b/>
          <w:bCs/>
          <w:sz w:val="21"/>
          <w:szCs w:val="22"/>
          <w:lang w:eastAsia="zh-CN"/>
        </w:rPr>
        <w:t>目标</w:t>
      </w:r>
      <w:bookmarkEnd w:id="22"/>
    </w:p>
    <w:p w14:paraId="1F7EE03B">
      <w:pPr>
        <w:pStyle w:val="25"/>
        <w:spacing w:after="0" w:line="360" w:lineRule="auto"/>
        <w:ind w:left="0"/>
        <w:rPr>
          <w:rFonts w:ascii="Times New Roman" w:eastAsia="宋体"/>
          <w:kern w:val="2"/>
          <w:sz w:val="21"/>
          <w:szCs w:val="21"/>
        </w:rPr>
      </w:pPr>
      <w:r>
        <w:rPr>
          <w:rFonts w:ascii="Times New Roman" w:eastAsia="宋体"/>
          <w:kern w:val="2"/>
          <w:sz w:val="21"/>
          <w:szCs w:val="21"/>
        </w:rPr>
        <w:t>建立全省统一</w:t>
      </w:r>
      <w:r>
        <w:rPr>
          <w:rFonts w:hint="eastAsia" w:ascii="Times New Roman" w:eastAsia="宋体"/>
          <w:kern w:val="2"/>
          <w:sz w:val="21"/>
          <w:szCs w:val="21"/>
        </w:rPr>
        <w:t>的</w:t>
      </w:r>
      <w:r>
        <w:rPr>
          <w:rFonts w:ascii="Times New Roman" w:eastAsia="宋体"/>
          <w:kern w:val="2"/>
          <w:sz w:val="21"/>
          <w:szCs w:val="21"/>
        </w:rPr>
        <w:t>代扣渠道，</w:t>
      </w:r>
      <w:r>
        <w:rPr>
          <w:rFonts w:hint="eastAsia" w:ascii="Times New Roman" w:eastAsia="宋体"/>
          <w:kern w:val="2"/>
          <w:sz w:val="21"/>
          <w:szCs w:val="21"/>
        </w:rPr>
        <w:t>可通过统一渠道实现国内主流银行和江苏省内农商行的代扣业务。</w:t>
      </w:r>
      <w:r>
        <w:rPr>
          <w:rFonts w:ascii="Times New Roman" w:eastAsia="宋体"/>
          <w:kern w:val="2"/>
          <w:sz w:val="21"/>
          <w:szCs w:val="21"/>
        </w:rPr>
        <w:t>优化代扣</w:t>
      </w:r>
      <w:r>
        <w:rPr>
          <w:rFonts w:hint="eastAsia" w:ascii="Times New Roman" w:eastAsia="宋体"/>
          <w:kern w:val="2"/>
          <w:sz w:val="21"/>
          <w:szCs w:val="21"/>
        </w:rPr>
        <w:t>业务</w:t>
      </w:r>
      <w:r>
        <w:rPr>
          <w:rFonts w:ascii="Times New Roman" w:eastAsia="宋体"/>
          <w:kern w:val="2"/>
          <w:sz w:val="21"/>
          <w:szCs w:val="21"/>
        </w:rPr>
        <w:t>签约解约流程</w:t>
      </w:r>
      <w:r>
        <w:rPr>
          <w:rFonts w:hint="eastAsia" w:ascii="Times New Roman" w:eastAsia="宋体"/>
          <w:kern w:val="2"/>
          <w:sz w:val="21"/>
          <w:szCs w:val="21"/>
        </w:rPr>
        <w:t>，改造签约解约业务操作场景，以</w:t>
      </w:r>
      <w:r>
        <w:rPr>
          <w:rFonts w:ascii="Times New Roman" w:eastAsia="宋体"/>
          <w:kern w:val="2"/>
          <w:sz w:val="21"/>
          <w:szCs w:val="21"/>
        </w:rPr>
        <w:t>进一步改进提高全省业务缴费代扣比率，更好满足当下业务发展需要，改善用户服务体验</w:t>
      </w:r>
      <w:r>
        <w:rPr>
          <w:rFonts w:hint="eastAsia" w:ascii="Times New Roman" w:eastAsia="宋体"/>
          <w:kern w:val="2"/>
          <w:sz w:val="21"/>
          <w:szCs w:val="21"/>
        </w:rPr>
        <w:t>。</w:t>
      </w:r>
    </w:p>
    <w:p w14:paraId="7D31AA18">
      <w:pPr>
        <w:pStyle w:val="36"/>
        <w:numPr>
          <w:ilvl w:val="2"/>
          <w:numId w:val="3"/>
        </w:numPr>
        <w:ind w:firstLineChars="0"/>
        <w:jc w:val="both"/>
        <w:outlineLvl w:val="2"/>
        <w:rPr>
          <w:rFonts w:eastAsiaTheme="minorEastAsia"/>
          <w:b/>
          <w:bCs/>
          <w:sz w:val="21"/>
          <w:szCs w:val="22"/>
        </w:rPr>
      </w:pPr>
      <w:bookmarkStart w:id="23" w:name="_Toc194067124"/>
      <w:r>
        <w:rPr>
          <w:rFonts w:eastAsiaTheme="minorEastAsia"/>
          <w:b/>
          <w:bCs/>
          <w:sz w:val="21"/>
          <w:szCs w:val="22"/>
          <w:lang w:eastAsia="zh-CN"/>
        </w:rPr>
        <w:t>实施范围</w:t>
      </w:r>
      <w:bookmarkEnd w:id="23"/>
    </w:p>
    <w:p w14:paraId="3F671285">
      <w:pPr>
        <w:pStyle w:val="25"/>
        <w:spacing w:after="0" w:line="360" w:lineRule="auto"/>
        <w:ind w:left="0"/>
        <w:rPr>
          <w:rFonts w:ascii="Times New Roman" w:eastAsia="宋体"/>
          <w:kern w:val="2"/>
          <w:sz w:val="21"/>
          <w:szCs w:val="21"/>
        </w:rPr>
      </w:pPr>
      <w:r>
        <w:rPr>
          <w:rFonts w:hint="eastAsia" w:ascii="Times New Roman" w:eastAsia="宋体"/>
          <w:kern w:val="2"/>
          <w:sz w:val="21"/>
          <w:szCs w:val="21"/>
        </w:rPr>
        <w:t>覆盖江苏有线所有分、子公司。</w:t>
      </w:r>
    </w:p>
    <w:p w14:paraId="24B32DA0">
      <w:pPr>
        <w:pStyle w:val="4"/>
        <w:keepLines w:val="0"/>
        <w:numPr>
          <w:ilvl w:val="1"/>
          <w:numId w:val="3"/>
        </w:numPr>
        <w:tabs>
          <w:tab w:val="left" w:pos="360"/>
        </w:tabs>
        <w:spacing w:before="0" w:after="0" w:line="360" w:lineRule="auto"/>
        <w:ind w:left="357" w:hanging="357"/>
        <w:rPr>
          <w:rFonts w:hint="eastAsia" w:ascii="宋体" w:hAnsi="宋体" w:eastAsia="宋体" w:cs="Arial"/>
          <w:sz w:val="24"/>
          <w:szCs w:val="24"/>
        </w:rPr>
      </w:pPr>
      <w:bookmarkStart w:id="24" w:name="_Toc194067125"/>
      <w:r>
        <w:rPr>
          <w:rFonts w:hint="eastAsia" w:ascii="宋体" w:hAnsi="宋体" w:eastAsia="宋体" w:cs="Arial"/>
          <w:sz w:val="24"/>
          <w:szCs w:val="24"/>
        </w:rPr>
        <w:t>统一代扣渠道应用功能及场景要求</w:t>
      </w:r>
      <w:bookmarkEnd w:id="24"/>
    </w:p>
    <w:p w14:paraId="553F832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银行统一代扣主要需求如下：</w:t>
      </w:r>
    </w:p>
    <w:p w14:paraId="0097DFD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1、在移动端（如公众号）实现用户自助签约、解约。</w:t>
      </w:r>
    </w:p>
    <w:p w14:paraId="5D72FF1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2、各地市/区县可以选择预付费或者后付费的代扣模式。</w:t>
      </w:r>
    </w:p>
    <w:p w14:paraId="1FAFFF5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3、用户签约后，boss里能打上标签。</w:t>
      </w:r>
    </w:p>
    <w:p w14:paraId="3DE3EC4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4、支持签约、扣费的营销活动。（比如签约代扣送代金券、红包等，代扣立减、享折扣等营销活动）</w:t>
      </w:r>
    </w:p>
    <w:p w14:paraId="6BEC055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5、支持增值业务连续包月的代扣模式。（比如开通连续包月，首月优惠，次月恢复原价等营销活动）</w:t>
      </w:r>
    </w:p>
    <w:p w14:paraId="589567C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6、支持扣费前、扣费成功后短信提醒/微信消息推送。</w:t>
      </w:r>
    </w:p>
    <w:p w14:paraId="76BBAF6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7、支持填写推荐人信息。</w:t>
      </w:r>
    </w:p>
    <w:p w14:paraId="2E825EF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以上需求主要由江苏有线电子渠道向上对接供应商系统、向下对接BOSS系统改造实现。电渠涉及主要工作有银行接口集成、签约/解约页面开发、代扣规则改造及配置、增值包连续包月功能开发、消息提醒机制、数据报表推送等。</w:t>
      </w:r>
    </w:p>
    <w:p w14:paraId="46836E7E">
      <w:pPr>
        <w:pStyle w:val="4"/>
        <w:keepLines w:val="0"/>
        <w:numPr>
          <w:ilvl w:val="1"/>
          <w:numId w:val="3"/>
        </w:numPr>
        <w:tabs>
          <w:tab w:val="left" w:pos="360"/>
        </w:tabs>
        <w:spacing w:before="0" w:after="0" w:line="360" w:lineRule="auto"/>
        <w:ind w:left="357" w:hanging="357"/>
        <w:rPr>
          <w:rFonts w:hint="eastAsia" w:ascii="宋体" w:hAnsi="宋体" w:eastAsia="宋体" w:cs="Arial"/>
          <w:sz w:val="24"/>
          <w:szCs w:val="24"/>
        </w:rPr>
      </w:pPr>
      <w:bookmarkStart w:id="25" w:name="_Toc194067126"/>
      <w:r>
        <w:rPr>
          <w:rFonts w:hint="eastAsia" w:ascii="宋体" w:hAnsi="宋体" w:eastAsia="宋体" w:cs="Arial"/>
          <w:sz w:val="24"/>
          <w:szCs w:val="24"/>
        </w:rPr>
        <w:t>供应商须承担的职责和义务</w:t>
      </w:r>
      <w:bookmarkEnd w:id="25"/>
    </w:p>
    <w:p w14:paraId="7D025BEE">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本次</w:t>
      </w:r>
      <w:r>
        <w:rPr>
          <w:rFonts w:hint="eastAsia" w:ascii="Times New Roman" w:hAnsi="Times New Roman" w:eastAsia="宋体" w:cs="Times New Roman"/>
          <w:szCs w:val="21"/>
        </w:rPr>
        <w:t>项目供应商</w:t>
      </w:r>
      <w:r>
        <w:rPr>
          <w:rFonts w:ascii="Times New Roman" w:hAnsi="Times New Roman" w:eastAsia="宋体" w:cs="Times New Roman"/>
          <w:szCs w:val="21"/>
        </w:rPr>
        <w:t xml:space="preserve">的职责和义务如下： </w:t>
      </w:r>
    </w:p>
    <w:p w14:paraId="600BF9C5">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为江苏有线提供覆盖国内主流银行及江苏省内所有农商行的统一代扣渠道</w:t>
      </w:r>
      <w:r>
        <w:rPr>
          <w:rFonts w:ascii="Times New Roman" w:hAnsi="Times New Roman" w:eastAsia="宋体" w:cs="Times New Roman"/>
          <w:szCs w:val="21"/>
        </w:rPr>
        <w:t xml:space="preserve">； </w:t>
      </w:r>
    </w:p>
    <w:p w14:paraId="2CA7E0C4">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与江苏有线指定的业务系统完成集成对接，并承担双方的相关费用</w:t>
      </w:r>
      <w:r>
        <w:rPr>
          <w:rFonts w:ascii="Times New Roman" w:hAnsi="Times New Roman" w:eastAsia="宋体" w:cs="Times New Roman"/>
          <w:szCs w:val="21"/>
        </w:rPr>
        <w:t xml:space="preserve">； </w:t>
      </w:r>
    </w:p>
    <w:p w14:paraId="42473CCB">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在江苏有线指定的前端业务平台完成改造工作，实现上述技术需求，并承担相关的开发实施费用。</w:t>
      </w:r>
      <w:r>
        <w:rPr>
          <w:rFonts w:ascii="Times New Roman" w:hAnsi="Times New Roman" w:eastAsia="宋体" w:cs="Times New Roman"/>
          <w:szCs w:val="21"/>
        </w:rPr>
        <w:t xml:space="preserve"> </w:t>
      </w:r>
    </w:p>
    <w:p w14:paraId="6B63A2A4">
      <w:pPr>
        <w:widowControl/>
        <w:spacing w:line="360" w:lineRule="auto"/>
        <w:ind w:firstLine="420" w:firstLineChars="200"/>
        <w:jc w:val="left"/>
        <w:rPr>
          <w:rFonts w:ascii="Times New Roman" w:hAnsi="Times New Roman" w:eastAsia="宋体" w:cs="Times New Roman"/>
          <w:szCs w:val="21"/>
        </w:rPr>
      </w:pPr>
    </w:p>
    <w:p w14:paraId="7668D725">
      <w:pPr>
        <w:widowControl/>
        <w:jc w:val="left"/>
        <w:rPr>
          <w:rFonts w:ascii="Times New Roman" w:hAnsi="Times New Roman" w:eastAsia="黑体" w:cs="Times New Roman"/>
          <w:kern w:val="44"/>
          <w:sz w:val="36"/>
          <w:szCs w:val="36"/>
          <w:u w:color="000000"/>
          <w:lang w:val="zh-TW" w:eastAsia="zh-TW"/>
        </w:rPr>
      </w:pPr>
      <w:r>
        <w:rPr>
          <w:rFonts w:ascii="Times New Roman" w:hAnsi="Times New Roman" w:eastAsia="黑体" w:cs="Times New Roman"/>
          <w:kern w:val="44"/>
          <w:sz w:val="36"/>
          <w:szCs w:val="36"/>
          <w:u w:color="000000"/>
          <w:lang w:val="zh-TW" w:eastAsia="zh-TW"/>
        </w:rPr>
        <w:br w:type="page"/>
      </w:r>
    </w:p>
    <w:p w14:paraId="0FD5B684">
      <w:pPr>
        <w:keepNext/>
        <w:keepLines/>
        <w:spacing w:before="312" w:beforeLines="100" w:after="312" w:afterLines="100" w:line="360" w:lineRule="auto"/>
        <w:jc w:val="center"/>
        <w:outlineLvl w:val="0"/>
        <w:rPr>
          <w:rFonts w:ascii="Times New Roman" w:hAnsi="Times New Roman" w:eastAsia="黑体" w:cs="Times New Roman"/>
          <w:kern w:val="44"/>
          <w:sz w:val="36"/>
          <w:szCs w:val="36"/>
          <w:u w:color="000000"/>
          <w:lang w:val="zh-TW" w:eastAsia="zh-TW"/>
        </w:rPr>
      </w:pPr>
      <w:bookmarkStart w:id="26" w:name="_Toc194067127"/>
      <w:r>
        <w:rPr>
          <w:rFonts w:ascii="Times New Roman" w:hAnsi="Times New Roman" w:eastAsia="黑体" w:cs="Times New Roman"/>
          <w:kern w:val="44"/>
          <w:sz w:val="36"/>
          <w:szCs w:val="36"/>
          <w:u w:color="000000"/>
          <w:lang w:val="zh-TW" w:eastAsia="zh-TW"/>
        </w:rPr>
        <w:t>第</w:t>
      </w:r>
      <w:r>
        <w:rPr>
          <w:rFonts w:ascii="Times New Roman" w:hAnsi="Times New Roman" w:eastAsia="黑体" w:cs="Times New Roman"/>
          <w:kern w:val="44"/>
          <w:sz w:val="36"/>
          <w:szCs w:val="36"/>
          <w:u w:color="000000"/>
          <w:lang w:val="zh-TW"/>
        </w:rPr>
        <w:t>六</w:t>
      </w:r>
      <w:r>
        <w:rPr>
          <w:rFonts w:ascii="Times New Roman" w:hAnsi="Times New Roman" w:eastAsia="黑体" w:cs="Times New Roman"/>
          <w:kern w:val="44"/>
          <w:sz w:val="36"/>
          <w:szCs w:val="36"/>
          <w:u w:color="000000"/>
          <w:lang w:val="zh-TW" w:eastAsia="zh-TW"/>
        </w:rPr>
        <w:t xml:space="preserve">章  </w:t>
      </w:r>
      <w:r>
        <w:rPr>
          <w:rFonts w:ascii="Times New Roman" w:hAnsi="Times New Roman" w:eastAsia="黑体" w:cs="Times New Roman"/>
          <w:kern w:val="44"/>
          <w:sz w:val="36"/>
          <w:szCs w:val="36"/>
          <w:u w:color="000000"/>
          <w:lang w:val="zh-TW"/>
        </w:rPr>
        <w:t>投标</w:t>
      </w:r>
      <w:r>
        <w:rPr>
          <w:rFonts w:ascii="Times New Roman" w:hAnsi="Times New Roman" w:eastAsia="黑体" w:cs="Times New Roman"/>
          <w:kern w:val="44"/>
          <w:sz w:val="36"/>
          <w:szCs w:val="36"/>
          <w:u w:color="000000"/>
          <w:lang w:val="zh-TW" w:eastAsia="zh-TW"/>
        </w:rPr>
        <w:t>文件格式</w:t>
      </w:r>
      <w:bookmarkEnd w:id="26"/>
    </w:p>
    <w:p w14:paraId="3226A991">
      <w:pPr>
        <w:spacing w:line="360" w:lineRule="auto"/>
        <w:ind w:firstLine="482" w:firstLineChars="200"/>
        <w:rPr>
          <w:rFonts w:ascii="Times New Roman" w:hAnsi="Times New Roman" w:eastAsia="宋体" w:cs="Times New Roman"/>
          <w:b/>
          <w:sz w:val="24"/>
          <w:szCs w:val="24"/>
          <w:u w:color="000000"/>
        </w:rPr>
      </w:pPr>
    </w:p>
    <w:p w14:paraId="3644CB86">
      <w:pPr>
        <w:spacing w:line="360" w:lineRule="auto"/>
        <w:ind w:firstLine="482"/>
        <w:rPr>
          <w:rFonts w:hint="eastAsia" w:ascii="仿宋" w:hAnsi="仿宋" w:eastAsia="仿宋"/>
          <w:b/>
          <w:bCs/>
          <w:color w:val="000000"/>
          <w:sz w:val="24"/>
        </w:rPr>
      </w:pPr>
      <w:r>
        <w:rPr>
          <w:rFonts w:hint="eastAsia" w:ascii="仿宋" w:hAnsi="仿宋" w:eastAsia="仿宋"/>
          <w:b/>
          <w:bCs/>
          <w:color w:val="000000"/>
          <w:sz w:val="24"/>
        </w:rPr>
        <w:t>附件一：价格表</w:t>
      </w:r>
    </w:p>
    <w:tbl>
      <w:tblPr>
        <w:tblStyle w:val="26"/>
        <w:tblW w:w="9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1800"/>
        <w:gridCol w:w="6804"/>
      </w:tblGrid>
      <w:tr w14:paraId="593DB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151" w:type="dxa"/>
            <w:shd w:val="clear" w:color="000000" w:fill="FFFFFF"/>
            <w:vAlign w:val="center"/>
          </w:tcPr>
          <w:p w14:paraId="08409758">
            <w:pPr>
              <w:widowControl/>
              <w:spacing w:line="360" w:lineRule="auto"/>
              <w:jc w:val="center"/>
              <w:rPr>
                <w:rFonts w:hint="eastAsia" w:ascii="仿宋" w:hAnsi="仿宋" w:eastAsia="仿宋" w:cs="宋体"/>
                <w:b/>
                <w:bCs/>
                <w:kern w:val="0"/>
                <w:sz w:val="24"/>
              </w:rPr>
            </w:pPr>
            <w:r>
              <w:rPr>
                <w:rFonts w:hint="eastAsia" w:ascii="仿宋" w:hAnsi="仿宋" w:eastAsia="仿宋" w:cs="宋体"/>
                <w:b/>
                <w:bCs/>
                <w:kern w:val="0"/>
                <w:sz w:val="24"/>
              </w:rPr>
              <w:t>序号</w:t>
            </w:r>
          </w:p>
        </w:tc>
        <w:tc>
          <w:tcPr>
            <w:tcW w:w="1800" w:type="dxa"/>
            <w:shd w:val="clear" w:color="000000" w:fill="FFFFFF"/>
            <w:vAlign w:val="center"/>
          </w:tcPr>
          <w:p w14:paraId="30FABF45">
            <w:pPr>
              <w:widowControl/>
              <w:spacing w:line="360" w:lineRule="auto"/>
              <w:jc w:val="center"/>
              <w:rPr>
                <w:rFonts w:hint="eastAsia" w:ascii="仿宋" w:hAnsi="仿宋" w:eastAsia="仿宋" w:cs="宋体"/>
                <w:b/>
                <w:bCs/>
                <w:kern w:val="0"/>
                <w:sz w:val="24"/>
              </w:rPr>
            </w:pPr>
            <w:r>
              <w:rPr>
                <w:rFonts w:hint="eastAsia" w:ascii="仿宋" w:hAnsi="仿宋" w:eastAsia="仿宋" w:cs="宋体"/>
                <w:b/>
                <w:bCs/>
                <w:kern w:val="0"/>
                <w:sz w:val="24"/>
              </w:rPr>
              <w:t>项目名称</w:t>
            </w:r>
          </w:p>
        </w:tc>
        <w:tc>
          <w:tcPr>
            <w:tcW w:w="6804" w:type="dxa"/>
            <w:shd w:val="clear" w:color="000000" w:fill="FFFFFF"/>
            <w:vAlign w:val="center"/>
          </w:tcPr>
          <w:p w14:paraId="7FD2E8E6">
            <w:pPr>
              <w:widowControl/>
              <w:spacing w:line="360" w:lineRule="auto"/>
              <w:jc w:val="center"/>
              <w:rPr>
                <w:rFonts w:hint="eastAsia" w:ascii="仿宋" w:hAnsi="仿宋" w:eastAsia="仿宋" w:cs="宋体"/>
                <w:b/>
                <w:bCs/>
                <w:kern w:val="0"/>
                <w:sz w:val="24"/>
              </w:rPr>
            </w:pPr>
            <w:r>
              <w:rPr>
                <w:rFonts w:hint="eastAsia" w:ascii="仿宋" w:hAnsi="仿宋" w:eastAsia="仿宋" w:cs="宋体"/>
                <w:b/>
                <w:bCs/>
                <w:kern w:val="0"/>
                <w:sz w:val="24"/>
              </w:rPr>
              <w:t>手续费费率</w:t>
            </w:r>
          </w:p>
        </w:tc>
      </w:tr>
      <w:tr w14:paraId="74E231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51" w:type="dxa"/>
            <w:vAlign w:val="center"/>
          </w:tcPr>
          <w:p w14:paraId="3070ED1F">
            <w:pPr>
              <w:widowControl/>
              <w:spacing w:line="360" w:lineRule="auto"/>
              <w:ind w:firstLine="480"/>
              <w:jc w:val="left"/>
              <w:rPr>
                <w:rFonts w:hint="eastAsia" w:ascii="仿宋" w:hAnsi="仿宋" w:eastAsia="仿宋"/>
                <w:kern w:val="0"/>
                <w:sz w:val="24"/>
              </w:rPr>
            </w:pPr>
            <w:r>
              <w:rPr>
                <w:rFonts w:hint="eastAsia" w:ascii="仿宋" w:hAnsi="仿宋" w:eastAsia="仿宋"/>
                <w:kern w:val="0"/>
                <w:sz w:val="24"/>
              </w:rPr>
              <w:t>1</w:t>
            </w:r>
          </w:p>
        </w:tc>
        <w:tc>
          <w:tcPr>
            <w:tcW w:w="1800" w:type="dxa"/>
            <w:vAlign w:val="center"/>
          </w:tcPr>
          <w:p w14:paraId="774578DA">
            <w:pPr>
              <w:widowControl/>
              <w:spacing w:line="360" w:lineRule="auto"/>
              <w:ind w:firstLine="480"/>
              <w:jc w:val="left"/>
              <w:rPr>
                <w:rFonts w:hint="eastAsia" w:ascii="仿宋" w:hAnsi="仿宋" w:eastAsia="仿宋"/>
                <w:kern w:val="0"/>
                <w:sz w:val="24"/>
              </w:rPr>
            </w:pPr>
          </w:p>
        </w:tc>
        <w:tc>
          <w:tcPr>
            <w:tcW w:w="6804" w:type="dxa"/>
            <w:vAlign w:val="center"/>
          </w:tcPr>
          <w:p w14:paraId="22DF8AF2">
            <w:pPr>
              <w:widowControl/>
              <w:spacing w:line="360" w:lineRule="auto"/>
              <w:ind w:firstLine="480"/>
              <w:jc w:val="center"/>
              <w:rPr>
                <w:rFonts w:hint="eastAsia" w:ascii="仿宋" w:hAnsi="仿宋" w:eastAsia="仿宋"/>
                <w:kern w:val="0"/>
                <w:sz w:val="24"/>
              </w:rPr>
            </w:pPr>
          </w:p>
        </w:tc>
      </w:tr>
      <w:tr w14:paraId="2B8A2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51" w:type="dxa"/>
            <w:vAlign w:val="center"/>
          </w:tcPr>
          <w:p w14:paraId="2489D9BF">
            <w:pPr>
              <w:widowControl/>
              <w:spacing w:line="360" w:lineRule="auto"/>
              <w:ind w:firstLine="480"/>
              <w:jc w:val="left"/>
              <w:rPr>
                <w:rFonts w:hint="eastAsia" w:ascii="仿宋" w:hAnsi="仿宋" w:eastAsia="仿宋"/>
                <w:kern w:val="0"/>
                <w:sz w:val="24"/>
              </w:rPr>
            </w:pPr>
            <w:r>
              <w:rPr>
                <w:rFonts w:hint="eastAsia" w:ascii="仿宋" w:hAnsi="仿宋" w:eastAsia="仿宋"/>
                <w:kern w:val="0"/>
                <w:sz w:val="24"/>
              </w:rPr>
              <w:t>2</w:t>
            </w:r>
          </w:p>
        </w:tc>
        <w:tc>
          <w:tcPr>
            <w:tcW w:w="1800" w:type="dxa"/>
            <w:vAlign w:val="center"/>
          </w:tcPr>
          <w:p w14:paraId="57734396">
            <w:pPr>
              <w:widowControl/>
              <w:spacing w:line="360" w:lineRule="auto"/>
              <w:ind w:firstLine="480"/>
              <w:jc w:val="left"/>
              <w:rPr>
                <w:rFonts w:hint="eastAsia" w:ascii="仿宋" w:hAnsi="仿宋" w:eastAsia="仿宋"/>
                <w:kern w:val="0"/>
                <w:sz w:val="24"/>
              </w:rPr>
            </w:pPr>
          </w:p>
        </w:tc>
        <w:tc>
          <w:tcPr>
            <w:tcW w:w="6804" w:type="dxa"/>
            <w:vAlign w:val="center"/>
          </w:tcPr>
          <w:p w14:paraId="10FBEB9A">
            <w:pPr>
              <w:widowControl/>
              <w:spacing w:line="360" w:lineRule="auto"/>
              <w:ind w:firstLine="480"/>
              <w:jc w:val="center"/>
              <w:rPr>
                <w:rFonts w:hint="eastAsia" w:ascii="仿宋" w:hAnsi="仿宋" w:eastAsia="仿宋"/>
                <w:kern w:val="0"/>
                <w:sz w:val="24"/>
              </w:rPr>
            </w:pPr>
          </w:p>
        </w:tc>
      </w:tr>
      <w:tr w14:paraId="3E4418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51" w:type="dxa"/>
            <w:vAlign w:val="center"/>
          </w:tcPr>
          <w:p w14:paraId="6DD9CFF0">
            <w:pPr>
              <w:widowControl/>
              <w:spacing w:line="360" w:lineRule="auto"/>
              <w:ind w:firstLine="480"/>
              <w:jc w:val="left"/>
              <w:rPr>
                <w:rFonts w:hint="eastAsia" w:ascii="仿宋" w:hAnsi="仿宋" w:eastAsia="仿宋"/>
                <w:kern w:val="0"/>
                <w:sz w:val="24"/>
              </w:rPr>
            </w:pPr>
            <w:r>
              <w:rPr>
                <w:rFonts w:hint="eastAsia" w:ascii="仿宋" w:hAnsi="仿宋" w:eastAsia="仿宋"/>
                <w:kern w:val="0"/>
                <w:sz w:val="24"/>
              </w:rPr>
              <w:t>3</w:t>
            </w:r>
          </w:p>
        </w:tc>
        <w:tc>
          <w:tcPr>
            <w:tcW w:w="1800" w:type="dxa"/>
            <w:vAlign w:val="center"/>
          </w:tcPr>
          <w:p w14:paraId="580B248B">
            <w:pPr>
              <w:widowControl/>
              <w:spacing w:line="360" w:lineRule="auto"/>
              <w:ind w:firstLine="480"/>
              <w:jc w:val="left"/>
              <w:rPr>
                <w:rFonts w:hint="eastAsia" w:ascii="仿宋" w:hAnsi="仿宋" w:eastAsia="仿宋"/>
                <w:kern w:val="0"/>
                <w:sz w:val="24"/>
              </w:rPr>
            </w:pPr>
          </w:p>
        </w:tc>
        <w:tc>
          <w:tcPr>
            <w:tcW w:w="6804" w:type="dxa"/>
            <w:vAlign w:val="center"/>
          </w:tcPr>
          <w:p w14:paraId="5C4AD7C2">
            <w:pPr>
              <w:widowControl/>
              <w:spacing w:line="360" w:lineRule="auto"/>
              <w:ind w:firstLine="480"/>
              <w:jc w:val="center"/>
              <w:rPr>
                <w:rFonts w:hint="eastAsia" w:ascii="仿宋" w:hAnsi="仿宋" w:eastAsia="仿宋"/>
                <w:kern w:val="0"/>
                <w:sz w:val="24"/>
              </w:rPr>
            </w:pPr>
          </w:p>
        </w:tc>
      </w:tr>
      <w:tr w14:paraId="4763D8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51" w:type="dxa"/>
            <w:vAlign w:val="center"/>
          </w:tcPr>
          <w:p w14:paraId="556322DE">
            <w:pPr>
              <w:widowControl/>
              <w:spacing w:line="360" w:lineRule="auto"/>
              <w:ind w:firstLine="480"/>
              <w:jc w:val="left"/>
              <w:rPr>
                <w:rFonts w:hint="eastAsia" w:ascii="仿宋" w:hAnsi="仿宋" w:eastAsia="仿宋"/>
                <w:kern w:val="0"/>
                <w:sz w:val="24"/>
              </w:rPr>
            </w:pPr>
            <w:r>
              <w:rPr>
                <w:rFonts w:hint="eastAsia" w:ascii="仿宋" w:hAnsi="仿宋" w:eastAsia="仿宋"/>
                <w:kern w:val="0"/>
                <w:sz w:val="24"/>
              </w:rPr>
              <w:t>4</w:t>
            </w:r>
          </w:p>
        </w:tc>
        <w:tc>
          <w:tcPr>
            <w:tcW w:w="1800" w:type="dxa"/>
            <w:vAlign w:val="center"/>
          </w:tcPr>
          <w:p w14:paraId="573D93C3">
            <w:pPr>
              <w:widowControl/>
              <w:spacing w:line="360" w:lineRule="auto"/>
              <w:ind w:firstLine="480"/>
              <w:jc w:val="left"/>
              <w:rPr>
                <w:rFonts w:hint="eastAsia" w:ascii="仿宋" w:hAnsi="仿宋" w:eastAsia="仿宋"/>
                <w:kern w:val="0"/>
                <w:sz w:val="24"/>
              </w:rPr>
            </w:pPr>
          </w:p>
        </w:tc>
        <w:tc>
          <w:tcPr>
            <w:tcW w:w="6804" w:type="dxa"/>
            <w:vAlign w:val="center"/>
          </w:tcPr>
          <w:p w14:paraId="07D311F0">
            <w:pPr>
              <w:widowControl/>
              <w:spacing w:line="360" w:lineRule="auto"/>
              <w:ind w:firstLine="480"/>
              <w:jc w:val="center"/>
              <w:rPr>
                <w:rFonts w:hint="eastAsia" w:ascii="仿宋" w:hAnsi="仿宋" w:eastAsia="仿宋"/>
                <w:kern w:val="0"/>
                <w:sz w:val="24"/>
              </w:rPr>
            </w:pPr>
          </w:p>
        </w:tc>
      </w:tr>
    </w:tbl>
    <w:p w14:paraId="1E66DEEB">
      <w:pPr>
        <w:spacing w:line="360" w:lineRule="auto"/>
        <w:ind w:firstLine="482"/>
        <w:rPr>
          <w:rFonts w:hint="eastAsia" w:ascii="仿宋" w:hAnsi="仿宋" w:eastAsia="仿宋"/>
          <w:b/>
          <w:bCs/>
          <w:color w:val="000000"/>
          <w:sz w:val="24"/>
        </w:rPr>
      </w:pPr>
    </w:p>
    <w:p w14:paraId="6B829843">
      <w:pPr>
        <w:spacing w:line="360" w:lineRule="auto"/>
        <w:ind w:firstLine="480"/>
        <w:rPr>
          <w:rFonts w:hint="eastAsia" w:ascii="仿宋" w:hAnsi="仿宋" w:eastAsia="仿宋"/>
          <w:color w:val="000000"/>
          <w:sz w:val="24"/>
        </w:rPr>
      </w:pPr>
      <w:r>
        <w:rPr>
          <w:rFonts w:ascii="仿宋" w:hAnsi="仿宋" w:eastAsia="仿宋"/>
          <w:color w:val="000000"/>
          <w:sz w:val="24"/>
        </w:rPr>
        <w:t>附件</w:t>
      </w:r>
      <w:r>
        <w:rPr>
          <w:rFonts w:hint="eastAsia" w:ascii="仿宋" w:hAnsi="仿宋" w:eastAsia="仿宋"/>
          <w:color w:val="000000"/>
          <w:sz w:val="24"/>
        </w:rPr>
        <w:t>2.技术需求书（注：根据项目需求制作）</w:t>
      </w:r>
    </w:p>
    <w:p w14:paraId="0C1839B4">
      <w:pPr>
        <w:spacing w:line="360" w:lineRule="auto"/>
        <w:ind w:firstLine="480"/>
        <w:rPr>
          <w:rFonts w:hint="eastAsia" w:ascii="仿宋" w:hAnsi="仿宋" w:eastAsia="仿宋"/>
          <w:color w:val="000000"/>
          <w:sz w:val="24"/>
        </w:rPr>
      </w:pPr>
      <w:r>
        <w:rPr>
          <w:rFonts w:hint="eastAsia" w:ascii="仿宋" w:hAnsi="仿宋" w:eastAsia="仿宋"/>
          <w:color w:val="000000"/>
          <w:sz w:val="24"/>
        </w:rPr>
        <w:t>附件3.产品功能清单（注：根据项目需求制作）</w:t>
      </w:r>
    </w:p>
    <w:p w14:paraId="186A6F82">
      <w:pPr>
        <w:spacing w:line="360" w:lineRule="auto"/>
        <w:ind w:firstLine="480"/>
        <w:rPr>
          <w:rFonts w:hint="eastAsia" w:ascii="仿宋" w:hAnsi="仿宋" w:eastAsia="仿宋"/>
          <w:color w:val="000000"/>
          <w:sz w:val="24"/>
        </w:rPr>
      </w:pPr>
      <w:r>
        <w:rPr>
          <w:rFonts w:hint="eastAsia" w:ascii="仿宋" w:hAnsi="仿宋" w:eastAsia="仿宋"/>
          <w:color w:val="000000"/>
          <w:sz w:val="24"/>
        </w:rPr>
        <w:t>附件4.项目实施进度表（注：根据项目需求制作）</w:t>
      </w:r>
    </w:p>
    <w:p w14:paraId="46447BC8">
      <w:pPr>
        <w:spacing w:line="360" w:lineRule="auto"/>
        <w:ind w:firstLine="482"/>
        <w:rPr>
          <w:rFonts w:hint="eastAsia" w:ascii="仿宋" w:hAnsi="仿宋" w:eastAsia="仿宋"/>
          <w:b/>
          <w:bCs/>
          <w:color w:val="000000"/>
          <w:sz w:val="24"/>
        </w:rPr>
      </w:pPr>
    </w:p>
    <w:p w14:paraId="1890AF5A">
      <w:pPr>
        <w:spacing w:line="360" w:lineRule="auto"/>
        <w:jc w:val="right"/>
        <w:rPr>
          <w:rFonts w:ascii="Times New Roman" w:hAnsi="Times New Roman" w:eastAsia="黑体" w:cs="Times New Roman"/>
          <w:sz w:val="24"/>
          <w:szCs w:val="24"/>
          <w:u w:color="000000"/>
        </w:rPr>
      </w:pPr>
    </w:p>
    <w:sectPr>
      <w:headerReference r:id="rId5" w:type="default"/>
      <w:footerReference r:id="rId6"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A1A6">
    <w:pPr>
      <w:pStyle w:val="1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ROMAN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CA61">
    <w:pPr>
      <w:pStyle w:val="1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4C8C">
    <w:pPr>
      <w:pStyle w:val="18"/>
      <w:jc w:val="right"/>
      <w:rPr>
        <w:rFonts w:ascii="Times New Roman" w:hAnsi="Times New Roman" w:cs="Times New Roman"/>
        <w:sz w:val="21"/>
        <w:szCs w:val="21"/>
      </w:rPr>
    </w:pPr>
    <w:r>
      <w:rPr>
        <w:rFonts w:hint="eastAsia" w:ascii="Times New Roman" w:hAnsi="Times New Roman" w:cs="Times New Roman"/>
        <w:sz w:val="21"/>
        <w:szCs w:val="21"/>
      </w:rPr>
      <w:t>江苏省广电有线信息网络股份有限公司统一代扣渠道项目竞争性谈判文件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8E57">
    <w:pPr>
      <w:pStyle w:val="18"/>
      <w:jc w:val="right"/>
    </w:pPr>
    <w:r>
      <w:rPr>
        <w:rFonts w:hint="eastAsia" w:ascii="Times New Roman" w:hAnsi="Times New Roman" w:cs="Times New Roman"/>
        <w:sz w:val="21"/>
        <w:szCs w:val="21"/>
      </w:rPr>
      <w:t>江苏省广电有线信息网络股份有限公司统一采购渠道目竞争性谈判文件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pStyle w:val="64"/>
      <w:lvlText w:val="第%1条."/>
      <w:lvlJc w:val="left"/>
      <w:pPr>
        <w:tabs>
          <w:tab w:val="left" w:pos="804"/>
        </w:tabs>
        <w:ind w:left="804" w:hanging="624"/>
      </w:pPr>
      <w:rPr>
        <w:rFonts w:hint="eastAsia" w:ascii="Times New Roman" w:hAnsi="Times New Roman" w:eastAsia="仿宋_GB2312"/>
        <w:b/>
        <w:i w:val="0"/>
        <w:sz w:val="24"/>
        <w:szCs w:val="24"/>
      </w:rPr>
    </w:lvl>
    <w:lvl w:ilvl="1" w:tentative="0">
      <w:start w:val="1"/>
      <w:numFmt w:val="decimal"/>
      <w:pStyle w:val="65"/>
      <w:lvlText w:val="%1.%2"/>
      <w:lvlJc w:val="left"/>
      <w:pPr>
        <w:tabs>
          <w:tab w:val="left" w:pos="1164"/>
        </w:tabs>
        <w:ind w:left="1164" w:hanging="624"/>
      </w:pPr>
      <w:rPr>
        <w:rFonts w:hint="eastAsia" w:ascii="Times New Roman" w:hAnsi="Times New Roman" w:eastAsia="仿宋_GB2312" w:cs="Arial"/>
        <w:b w:val="0"/>
        <w:i w:val="0"/>
        <w:sz w:val="24"/>
        <w:szCs w:val="24"/>
      </w:rPr>
    </w:lvl>
    <w:lvl w:ilvl="2" w:tentative="0">
      <w:start w:val="1"/>
      <w:numFmt w:val="decimal"/>
      <w:lvlText w:val="(%3)"/>
      <w:lvlJc w:val="left"/>
      <w:pPr>
        <w:tabs>
          <w:tab w:val="left" w:pos="624"/>
        </w:tabs>
        <w:ind w:left="624" w:hanging="624"/>
      </w:pPr>
      <w:rPr>
        <w:rFonts w:hint="default" w:ascii="Arial" w:hAnsi="Arial"/>
        <w:b w:val="0"/>
        <w:i w:val="0"/>
        <w:sz w:val="24"/>
        <w:szCs w:val="24"/>
      </w:rPr>
    </w:lvl>
    <w:lvl w:ilvl="3" w:tentative="0">
      <w:start w:val="1"/>
      <w:numFmt w:val="decimal"/>
      <w:pStyle w:val="66"/>
      <w:lvlText w:val="%1.%2.%4"/>
      <w:lvlJc w:val="left"/>
      <w:pPr>
        <w:tabs>
          <w:tab w:val="left" w:pos="1817"/>
        </w:tabs>
        <w:ind w:left="1817" w:hanging="737"/>
      </w:pPr>
      <w:rPr>
        <w:rFonts w:hint="eastAsia" w:ascii="Times New Roman" w:hAnsi="Times New Roman" w:eastAsia="仿宋_GB2312" w:cs="Arial"/>
        <w:b w:val="0"/>
        <w:i w:val="0"/>
        <w:sz w:val="24"/>
        <w:szCs w:val="24"/>
        <w:lang w:val="en-US"/>
      </w:rPr>
    </w:lvl>
    <w:lvl w:ilvl="4" w:tentative="0">
      <w:start w:val="1"/>
      <w:numFmt w:val="lowerLetter"/>
      <w:lvlText w:val="(%5)"/>
      <w:lvlJc w:val="left"/>
      <w:pPr>
        <w:tabs>
          <w:tab w:val="left" w:pos="1361"/>
        </w:tabs>
        <w:ind w:left="1361" w:hanging="737"/>
      </w:pPr>
      <w:rPr>
        <w:rFonts w:hint="default" w:ascii="Arial" w:hAnsi="Arial"/>
        <w:b w:val="0"/>
        <w:i w:val="0"/>
        <w:sz w:val="20"/>
      </w:rPr>
    </w:lvl>
    <w:lvl w:ilvl="5" w:tentative="0">
      <w:start w:val="1"/>
      <w:numFmt w:val="lowerRoman"/>
      <w:lvlText w:val="(%6)"/>
      <w:lvlJc w:val="left"/>
      <w:pPr>
        <w:tabs>
          <w:tab w:val="left" w:pos="2041"/>
        </w:tabs>
        <w:ind w:left="2041" w:hanging="680"/>
      </w:pPr>
      <w:rPr>
        <w:rFonts w:hint="default" w:ascii="Arial" w:hAnsi="Arial"/>
        <w:b w:val="0"/>
        <w:i w:val="0"/>
        <w:sz w:val="20"/>
      </w:rPr>
    </w:lvl>
    <w:lvl w:ilvl="6" w:tentative="0">
      <w:start w:val="1"/>
      <w:numFmt w:val="upperLetter"/>
      <w:lvlText w:val="(%7)"/>
      <w:lvlJc w:val="left"/>
      <w:pPr>
        <w:tabs>
          <w:tab w:val="left" w:pos="2041"/>
        </w:tabs>
        <w:ind w:left="2041" w:hanging="680"/>
      </w:pPr>
      <w:rPr>
        <w:rFonts w:hint="default" w:ascii="Arial" w:hAnsi="Arial"/>
        <w:b w:val="0"/>
        <w:i w:val="0"/>
        <w:sz w:val="20"/>
      </w:rPr>
    </w:lvl>
    <w:lvl w:ilvl="7" w:tentative="0">
      <w:start w:val="1"/>
      <w:numFmt w:val="upperLetter"/>
      <w:lvlText w:val="(%8)"/>
      <w:lvlJc w:val="left"/>
      <w:pPr>
        <w:tabs>
          <w:tab w:val="left" w:pos="2722"/>
        </w:tabs>
        <w:ind w:left="2722" w:hanging="681"/>
      </w:pPr>
      <w:rPr>
        <w:rFonts w:hint="default" w:ascii="Arial" w:hAnsi="Arial"/>
        <w:b w:val="0"/>
        <w:i w:val="0"/>
        <w:sz w:val="20"/>
      </w:rPr>
    </w:lvl>
    <w:lvl w:ilvl="8" w:tentative="0">
      <w:start w:val="1"/>
      <w:numFmt w:val="none"/>
      <w:lvlText w:val=""/>
      <w:lvlJc w:val="left"/>
      <w:pPr>
        <w:tabs>
          <w:tab w:val="left" w:pos="4320"/>
        </w:tabs>
        <w:ind w:left="4320" w:hanging="1440"/>
      </w:pPr>
      <w:rPr>
        <w:rFonts w:hint="eastAsia"/>
      </w:rPr>
    </w:lvl>
  </w:abstractNum>
  <w:abstractNum w:abstractNumId="1">
    <w:nsid w:val="02A93BD6"/>
    <w:multiLevelType w:val="multilevel"/>
    <w:tmpl w:val="02A93BD6"/>
    <w:lvl w:ilvl="0" w:tentative="0">
      <w:start w:val="1"/>
      <w:numFmt w:val="chineseCountingThousand"/>
      <w:pStyle w:val="62"/>
      <w:lvlText w:val="第%1部分."/>
      <w:lvlJc w:val="center"/>
      <w:pPr>
        <w:tabs>
          <w:tab w:val="left" w:pos="1386"/>
        </w:tabs>
        <w:ind w:left="810" w:hanging="144"/>
      </w:pPr>
      <w:rPr>
        <w:rFonts w:hint="eastAsia"/>
      </w:rPr>
    </w:lvl>
    <w:lvl w:ilvl="1" w:tentative="0">
      <w:start w:val="1"/>
      <w:numFmt w:val="decimal"/>
      <w:lvlText w:val="%2."/>
      <w:lvlJc w:val="left"/>
      <w:pPr>
        <w:tabs>
          <w:tab w:val="left" w:pos="355"/>
        </w:tabs>
        <w:ind w:left="355" w:hanging="397"/>
      </w:pPr>
      <w:rPr>
        <w:rFonts w:hint="eastAsia"/>
      </w:rPr>
    </w:lvl>
    <w:lvl w:ilvl="2" w:tentative="0">
      <w:start w:val="1"/>
      <w:numFmt w:val="decimal"/>
      <w:lvlText w:val="%2.%3."/>
      <w:lvlJc w:val="left"/>
      <w:pPr>
        <w:tabs>
          <w:tab w:val="left" w:pos="638"/>
        </w:tabs>
        <w:ind w:left="638" w:hanging="453"/>
      </w:pPr>
      <w:rPr>
        <w:rFonts w:hint="eastAsia"/>
      </w:rPr>
    </w:lvl>
    <w:lvl w:ilvl="3" w:tentative="0">
      <w:start w:val="1"/>
      <w:numFmt w:val="decimal"/>
      <w:lvlText w:val="%2.%3.%4"/>
      <w:lvlJc w:val="left"/>
      <w:pPr>
        <w:tabs>
          <w:tab w:val="left" w:pos="1075"/>
        </w:tabs>
        <w:ind w:left="525" w:hanging="170"/>
      </w:pPr>
      <w:rPr>
        <w:rFonts w:hint="default"/>
      </w:rPr>
    </w:lvl>
    <w:lvl w:ilvl="4" w:tentative="0">
      <w:start w:val="1"/>
      <w:numFmt w:val="decimal"/>
      <w:lvlText w:val="%2.%3.%4.%5"/>
      <w:lvlJc w:val="left"/>
      <w:pPr>
        <w:tabs>
          <w:tab w:val="left" w:pos="1605"/>
        </w:tabs>
        <w:ind w:left="752" w:hanging="227"/>
      </w:pPr>
      <w:rPr>
        <w:rFonts w:hint="eastAsia"/>
      </w:rPr>
    </w:lvl>
    <w:lvl w:ilvl="5" w:tentative="0">
      <w:start w:val="1"/>
      <w:numFmt w:val="decimal"/>
      <w:lvlText w:val="%2.%3.%4.%5.%6"/>
      <w:lvlJc w:val="left"/>
      <w:pPr>
        <w:tabs>
          <w:tab w:val="left" w:pos="1530"/>
        </w:tabs>
        <w:ind w:left="1530" w:hanging="1152"/>
      </w:pPr>
      <w:rPr>
        <w:rFonts w:hint="eastAsia"/>
      </w:rPr>
    </w:lvl>
    <w:lvl w:ilvl="6" w:tentative="0">
      <w:start w:val="1"/>
      <w:numFmt w:val="decimal"/>
      <w:lvlText w:val="%7)"/>
      <w:lvlJc w:val="left"/>
      <w:pPr>
        <w:tabs>
          <w:tab w:val="left" w:pos="1674"/>
        </w:tabs>
        <w:ind w:left="1674" w:hanging="1296"/>
      </w:pPr>
      <w:rPr>
        <w:rFonts w:hint="eastAsia"/>
      </w:rPr>
    </w:lvl>
    <w:lvl w:ilvl="7" w:tentative="0">
      <w:start w:val="1"/>
      <w:numFmt w:val="chineseCountingThousand"/>
      <w:lvlRestart w:val="0"/>
      <w:lvlText w:val="第%8章."/>
      <w:lvlJc w:val="left"/>
      <w:pPr>
        <w:tabs>
          <w:tab w:val="left" w:pos="8528"/>
        </w:tabs>
        <w:ind w:left="8528" w:hanging="1440"/>
      </w:pPr>
      <w:rPr>
        <w:rFonts w:hint="eastAsia"/>
      </w:rPr>
    </w:lvl>
    <w:lvl w:ilvl="8" w:tentative="0">
      <w:start w:val="1"/>
      <w:numFmt w:val="decimal"/>
      <w:lvlText w:val="第%9条."/>
      <w:lvlJc w:val="left"/>
      <w:pPr>
        <w:tabs>
          <w:tab w:val="left" w:pos="1962"/>
        </w:tabs>
        <w:ind w:left="1962" w:hanging="1584"/>
      </w:pPr>
      <w:rPr>
        <w:rFonts w:hint="eastAsia"/>
      </w:rPr>
    </w:lvl>
  </w:abstractNum>
  <w:abstractNum w:abstractNumId="2">
    <w:nsid w:val="61A95346"/>
    <w:multiLevelType w:val="multilevel"/>
    <w:tmpl w:val="61A95346"/>
    <w:lvl w:ilvl="0" w:tentative="0">
      <w:start w:val="5"/>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720" w:hanging="720"/>
      </w:pPr>
      <w:rPr>
        <w:rFonts w:hint="default" w:asciiTheme="majorEastAsia" w:hAnsiTheme="majorEastAsia" w:eastAsiaTheme="majorEastAsia"/>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DEyNDFkMjM3Zjg3NTlmNGFlYmZlN2YwMDliNzkifQ=="/>
    <w:docVar w:name="KSO_WPS_MARK_KEY" w:val="46bf4c52-c5a0-4d86-bcc8-71bec85d21c6"/>
  </w:docVars>
  <w:rsids>
    <w:rsidRoot w:val="00D17229"/>
    <w:rsid w:val="000022EF"/>
    <w:rsid w:val="00005498"/>
    <w:rsid w:val="000056D9"/>
    <w:rsid w:val="000056E1"/>
    <w:rsid w:val="00006D84"/>
    <w:rsid w:val="000077D8"/>
    <w:rsid w:val="00011C0C"/>
    <w:rsid w:val="00012CB3"/>
    <w:rsid w:val="00013402"/>
    <w:rsid w:val="000136D5"/>
    <w:rsid w:val="00015940"/>
    <w:rsid w:val="000177AE"/>
    <w:rsid w:val="00020746"/>
    <w:rsid w:val="00021785"/>
    <w:rsid w:val="00022EE9"/>
    <w:rsid w:val="000243B6"/>
    <w:rsid w:val="0002477E"/>
    <w:rsid w:val="00025649"/>
    <w:rsid w:val="00027AE5"/>
    <w:rsid w:val="0003047D"/>
    <w:rsid w:val="00031DD4"/>
    <w:rsid w:val="0003270F"/>
    <w:rsid w:val="00033710"/>
    <w:rsid w:val="00034684"/>
    <w:rsid w:val="000359C1"/>
    <w:rsid w:val="00035C7F"/>
    <w:rsid w:val="00037DCE"/>
    <w:rsid w:val="00042B97"/>
    <w:rsid w:val="0004378F"/>
    <w:rsid w:val="00052F06"/>
    <w:rsid w:val="00055251"/>
    <w:rsid w:val="000566AC"/>
    <w:rsid w:val="000574F4"/>
    <w:rsid w:val="00057A62"/>
    <w:rsid w:val="00057F21"/>
    <w:rsid w:val="00060CBE"/>
    <w:rsid w:val="00061742"/>
    <w:rsid w:val="00063293"/>
    <w:rsid w:val="00064072"/>
    <w:rsid w:val="000659B6"/>
    <w:rsid w:val="0006699F"/>
    <w:rsid w:val="00070161"/>
    <w:rsid w:val="00075625"/>
    <w:rsid w:val="00075C4E"/>
    <w:rsid w:val="0008020E"/>
    <w:rsid w:val="00081744"/>
    <w:rsid w:val="00081D21"/>
    <w:rsid w:val="000823B6"/>
    <w:rsid w:val="0008394A"/>
    <w:rsid w:val="000847FF"/>
    <w:rsid w:val="00086378"/>
    <w:rsid w:val="00086855"/>
    <w:rsid w:val="00087768"/>
    <w:rsid w:val="00090B6D"/>
    <w:rsid w:val="00090E2D"/>
    <w:rsid w:val="00090E45"/>
    <w:rsid w:val="00091794"/>
    <w:rsid w:val="00095A17"/>
    <w:rsid w:val="0009742B"/>
    <w:rsid w:val="000977F6"/>
    <w:rsid w:val="000A0BDB"/>
    <w:rsid w:val="000A1531"/>
    <w:rsid w:val="000A24F8"/>
    <w:rsid w:val="000A2B30"/>
    <w:rsid w:val="000B15BC"/>
    <w:rsid w:val="000B1A64"/>
    <w:rsid w:val="000B5784"/>
    <w:rsid w:val="000C2C26"/>
    <w:rsid w:val="000C4D61"/>
    <w:rsid w:val="000C5960"/>
    <w:rsid w:val="000D394A"/>
    <w:rsid w:val="000D5167"/>
    <w:rsid w:val="000D5BB9"/>
    <w:rsid w:val="000E2443"/>
    <w:rsid w:val="000E40F0"/>
    <w:rsid w:val="000E5CA9"/>
    <w:rsid w:val="000F0A11"/>
    <w:rsid w:val="000F1704"/>
    <w:rsid w:val="000F227A"/>
    <w:rsid w:val="000F4052"/>
    <w:rsid w:val="000F5248"/>
    <w:rsid w:val="000F5C89"/>
    <w:rsid w:val="000F6EF7"/>
    <w:rsid w:val="000F7662"/>
    <w:rsid w:val="000F7EFA"/>
    <w:rsid w:val="00101ED5"/>
    <w:rsid w:val="00102845"/>
    <w:rsid w:val="00102BDC"/>
    <w:rsid w:val="001041C8"/>
    <w:rsid w:val="001061CB"/>
    <w:rsid w:val="00106D32"/>
    <w:rsid w:val="00106F06"/>
    <w:rsid w:val="00110CFB"/>
    <w:rsid w:val="00115742"/>
    <w:rsid w:val="001160CE"/>
    <w:rsid w:val="001211A1"/>
    <w:rsid w:val="00122553"/>
    <w:rsid w:val="0012333F"/>
    <w:rsid w:val="00123A0A"/>
    <w:rsid w:val="00125E7A"/>
    <w:rsid w:val="00126333"/>
    <w:rsid w:val="00126F74"/>
    <w:rsid w:val="001270FB"/>
    <w:rsid w:val="001273C6"/>
    <w:rsid w:val="00134845"/>
    <w:rsid w:val="00134ACB"/>
    <w:rsid w:val="00136076"/>
    <w:rsid w:val="00137345"/>
    <w:rsid w:val="001377E4"/>
    <w:rsid w:val="0014080E"/>
    <w:rsid w:val="0014146B"/>
    <w:rsid w:val="00142BC7"/>
    <w:rsid w:val="001435C0"/>
    <w:rsid w:val="0014418D"/>
    <w:rsid w:val="00150501"/>
    <w:rsid w:val="001512A0"/>
    <w:rsid w:val="00151E91"/>
    <w:rsid w:val="00152247"/>
    <w:rsid w:val="00155CDD"/>
    <w:rsid w:val="00156363"/>
    <w:rsid w:val="001576D3"/>
    <w:rsid w:val="001624C7"/>
    <w:rsid w:val="00164B11"/>
    <w:rsid w:val="00164C1F"/>
    <w:rsid w:val="001652F1"/>
    <w:rsid w:val="0017171C"/>
    <w:rsid w:val="001717C1"/>
    <w:rsid w:val="00171CA7"/>
    <w:rsid w:val="001724E1"/>
    <w:rsid w:val="001727F4"/>
    <w:rsid w:val="00174139"/>
    <w:rsid w:val="001760AB"/>
    <w:rsid w:val="001769F4"/>
    <w:rsid w:val="00177035"/>
    <w:rsid w:val="001806F8"/>
    <w:rsid w:val="001810D4"/>
    <w:rsid w:val="00181EFB"/>
    <w:rsid w:val="00182E2F"/>
    <w:rsid w:val="001857CA"/>
    <w:rsid w:val="00186163"/>
    <w:rsid w:val="001869BD"/>
    <w:rsid w:val="00190DBD"/>
    <w:rsid w:val="00195465"/>
    <w:rsid w:val="00195931"/>
    <w:rsid w:val="001A049E"/>
    <w:rsid w:val="001A054F"/>
    <w:rsid w:val="001A2805"/>
    <w:rsid w:val="001A61A3"/>
    <w:rsid w:val="001B1821"/>
    <w:rsid w:val="001B19F3"/>
    <w:rsid w:val="001B6844"/>
    <w:rsid w:val="001B7303"/>
    <w:rsid w:val="001C02F7"/>
    <w:rsid w:val="001C080E"/>
    <w:rsid w:val="001C19FF"/>
    <w:rsid w:val="001C2329"/>
    <w:rsid w:val="001C6630"/>
    <w:rsid w:val="001C6A24"/>
    <w:rsid w:val="001D26C9"/>
    <w:rsid w:val="001D40E3"/>
    <w:rsid w:val="001D4F9C"/>
    <w:rsid w:val="001D6E90"/>
    <w:rsid w:val="001D786A"/>
    <w:rsid w:val="001E2BFC"/>
    <w:rsid w:val="001E5FB5"/>
    <w:rsid w:val="001E711D"/>
    <w:rsid w:val="001F06C5"/>
    <w:rsid w:val="001F1A04"/>
    <w:rsid w:val="001F1F39"/>
    <w:rsid w:val="001F3E71"/>
    <w:rsid w:val="001F5348"/>
    <w:rsid w:val="001F553F"/>
    <w:rsid w:val="00200AB2"/>
    <w:rsid w:val="002022F4"/>
    <w:rsid w:val="00204F29"/>
    <w:rsid w:val="002060D9"/>
    <w:rsid w:val="002079C9"/>
    <w:rsid w:val="00207F96"/>
    <w:rsid w:val="00211FBE"/>
    <w:rsid w:val="00213E33"/>
    <w:rsid w:val="00220B2D"/>
    <w:rsid w:val="00223D56"/>
    <w:rsid w:val="00223DC9"/>
    <w:rsid w:val="00225BCD"/>
    <w:rsid w:val="00226B8F"/>
    <w:rsid w:val="0023233F"/>
    <w:rsid w:val="002356AB"/>
    <w:rsid w:val="002371AE"/>
    <w:rsid w:val="00237254"/>
    <w:rsid w:val="00237700"/>
    <w:rsid w:val="00240339"/>
    <w:rsid w:val="002409A8"/>
    <w:rsid w:val="00241588"/>
    <w:rsid w:val="00241BED"/>
    <w:rsid w:val="0024346F"/>
    <w:rsid w:val="002434F2"/>
    <w:rsid w:val="00252E80"/>
    <w:rsid w:val="00254AA5"/>
    <w:rsid w:val="00255C42"/>
    <w:rsid w:val="00255DCD"/>
    <w:rsid w:val="002560F1"/>
    <w:rsid w:val="00257273"/>
    <w:rsid w:val="002603C3"/>
    <w:rsid w:val="00267CF4"/>
    <w:rsid w:val="00270874"/>
    <w:rsid w:val="0027152D"/>
    <w:rsid w:val="00271948"/>
    <w:rsid w:val="00274DB5"/>
    <w:rsid w:val="00276455"/>
    <w:rsid w:val="00282712"/>
    <w:rsid w:val="0028294F"/>
    <w:rsid w:val="00282DB2"/>
    <w:rsid w:val="00282E2B"/>
    <w:rsid w:val="00284433"/>
    <w:rsid w:val="00284A24"/>
    <w:rsid w:val="002855FB"/>
    <w:rsid w:val="0028597D"/>
    <w:rsid w:val="00285E94"/>
    <w:rsid w:val="002934A2"/>
    <w:rsid w:val="00293F58"/>
    <w:rsid w:val="00295012"/>
    <w:rsid w:val="00295A8D"/>
    <w:rsid w:val="00296FA2"/>
    <w:rsid w:val="00297A13"/>
    <w:rsid w:val="00297CF8"/>
    <w:rsid w:val="00297E6E"/>
    <w:rsid w:val="002A001A"/>
    <w:rsid w:val="002A0160"/>
    <w:rsid w:val="002A19D0"/>
    <w:rsid w:val="002A23C9"/>
    <w:rsid w:val="002A2B68"/>
    <w:rsid w:val="002A38E1"/>
    <w:rsid w:val="002A3A79"/>
    <w:rsid w:val="002A3BC8"/>
    <w:rsid w:val="002A67A0"/>
    <w:rsid w:val="002A77C6"/>
    <w:rsid w:val="002A7B58"/>
    <w:rsid w:val="002A7B5E"/>
    <w:rsid w:val="002B141F"/>
    <w:rsid w:val="002B3C23"/>
    <w:rsid w:val="002B3E9D"/>
    <w:rsid w:val="002B4B51"/>
    <w:rsid w:val="002B56A0"/>
    <w:rsid w:val="002B5A10"/>
    <w:rsid w:val="002B5FA2"/>
    <w:rsid w:val="002C04A6"/>
    <w:rsid w:val="002C0B34"/>
    <w:rsid w:val="002C0F09"/>
    <w:rsid w:val="002C14C5"/>
    <w:rsid w:val="002C17D9"/>
    <w:rsid w:val="002C2F68"/>
    <w:rsid w:val="002C568F"/>
    <w:rsid w:val="002C5FB0"/>
    <w:rsid w:val="002D1D9D"/>
    <w:rsid w:val="002D21B6"/>
    <w:rsid w:val="002D266B"/>
    <w:rsid w:val="002D3BFF"/>
    <w:rsid w:val="002D4157"/>
    <w:rsid w:val="002D4AAC"/>
    <w:rsid w:val="002D7888"/>
    <w:rsid w:val="002E16CD"/>
    <w:rsid w:val="002E2AF0"/>
    <w:rsid w:val="002E6A01"/>
    <w:rsid w:val="002F2DEC"/>
    <w:rsid w:val="002F36BD"/>
    <w:rsid w:val="002F37C1"/>
    <w:rsid w:val="002F3ABE"/>
    <w:rsid w:val="00302E57"/>
    <w:rsid w:val="00305651"/>
    <w:rsid w:val="00312F7A"/>
    <w:rsid w:val="00313C03"/>
    <w:rsid w:val="00315009"/>
    <w:rsid w:val="003176B9"/>
    <w:rsid w:val="00321C8E"/>
    <w:rsid w:val="00322E79"/>
    <w:rsid w:val="00324F65"/>
    <w:rsid w:val="003274B9"/>
    <w:rsid w:val="00330D32"/>
    <w:rsid w:val="00331640"/>
    <w:rsid w:val="003338D1"/>
    <w:rsid w:val="0033460E"/>
    <w:rsid w:val="00340075"/>
    <w:rsid w:val="003405A1"/>
    <w:rsid w:val="00343937"/>
    <w:rsid w:val="00343DDF"/>
    <w:rsid w:val="0034502A"/>
    <w:rsid w:val="003453DF"/>
    <w:rsid w:val="00345EE9"/>
    <w:rsid w:val="003526F5"/>
    <w:rsid w:val="00352DFA"/>
    <w:rsid w:val="0035393A"/>
    <w:rsid w:val="00353B35"/>
    <w:rsid w:val="0035596A"/>
    <w:rsid w:val="00356F3F"/>
    <w:rsid w:val="00357288"/>
    <w:rsid w:val="003575A3"/>
    <w:rsid w:val="00364878"/>
    <w:rsid w:val="003659EF"/>
    <w:rsid w:val="003668F7"/>
    <w:rsid w:val="00371FF0"/>
    <w:rsid w:val="00372973"/>
    <w:rsid w:val="00377CBF"/>
    <w:rsid w:val="0038057E"/>
    <w:rsid w:val="0038085B"/>
    <w:rsid w:val="003811AF"/>
    <w:rsid w:val="0038214E"/>
    <w:rsid w:val="00382619"/>
    <w:rsid w:val="00384434"/>
    <w:rsid w:val="00386FF7"/>
    <w:rsid w:val="00391B1F"/>
    <w:rsid w:val="00393BD2"/>
    <w:rsid w:val="003955DD"/>
    <w:rsid w:val="003958B6"/>
    <w:rsid w:val="003A34B7"/>
    <w:rsid w:val="003B13B9"/>
    <w:rsid w:val="003B2BFB"/>
    <w:rsid w:val="003B3EB7"/>
    <w:rsid w:val="003B4806"/>
    <w:rsid w:val="003B4A82"/>
    <w:rsid w:val="003B5C1C"/>
    <w:rsid w:val="003B5E39"/>
    <w:rsid w:val="003B6105"/>
    <w:rsid w:val="003B63A1"/>
    <w:rsid w:val="003B79B1"/>
    <w:rsid w:val="003C0334"/>
    <w:rsid w:val="003C1DC5"/>
    <w:rsid w:val="003C3AAB"/>
    <w:rsid w:val="003C47E7"/>
    <w:rsid w:val="003D1A16"/>
    <w:rsid w:val="003D23C8"/>
    <w:rsid w:val="003E2785"/>
    <w:rsid w:val="003E4171"/>
    <w:rsid w:val="003E482A"/>
    <w:rsid w:val="003E50A1"/>
    <w:rsid w:val="003E52AB"/>
    <w:rsid w:val="003E722A"/>
    <w:rsid w:val="003E7603"/>
    <w:rsid w:val="003F16D6"/>
    <w:rsid w:val="003F30FE"/>
    <w:rsid w:val="003F357F"/>
    <w:rsid w:val="003F3817"/>
    <w:rsid w:val="003F3C1E"/>
    <w:rsid w:val="003F3EAD"/>
    <w:rsid w:val="003F560A"/>
    <w:rsid w:val="004024FC"/>
    <w:rsid w:val="00405454"/>
    <w:rsid w:val="00405C2D"/>
    <w:rsid w:val="004068F7"/>
    <w:rsid w:val="00411354"/>
    <w:rsid w:val="00413316"/>
    <w:rsid w:val="00413F76"/>
    <w:rsid w:val="00413FB9"/>
    <w:rsid w:val="00414180"/>
    <w:rsid w:val="00414513"/>
    <w:rsid w:val="004150B4"/>
    <w:rsid w:val="004152B9"/>
    <w:rsid w:val="0041772E"/>
    <w:rsid w:val="00420274"/>
    <w:rsid w:val="00420EEF"/>
    <w:rsid w:val="004212E4"/>
    <w:rsid w:val="004216B5"/>
    <w:rsid w:val="00423E5E"/>
    <w:rsid w:val="00425681"/>
    <w:rsid w:val="00425D6C"/>
    <w:rsid w:val="00427855"/>
    <w:rsid w:val="00430650"/>
    <w:rsid w:val="00433208"/>
    <w:rsid w:val="00433703"/>
    <w:rsid w:val="00434E02"/>
    <w:rsid w:val="0044024E"/>
    <w:rsid w:val="0044129B"/>
    <w:rsid w:val="004424EF"/>
    <w:rsid w:val="0044282B"/>
    <w:rsid w:val="004433C7"/>
    <w:rsid w:val="00443675"/>
    <w:rsid w:val="004452F8"/>
    <w:rsid w:val="0045095E"/>
    <w:rsid w:val="00451DBD"/>
    <w:rsid w:val="004521DA"/>
    <w:rsid w:val="004527E1"/>
    <w:rsid w:val="00452BCD"/>
    <w:rsid w:val="00456760"/>
    <w:rsid w:val="00457A4F"/>
    <w:rsid w:val="004616E6"/>
    <w:rsid w:val="00461AE8"/>
    <w:rsid w:val="004625C1"/>
    <w:rsid w:val="00463C48"/>
    <w:rsid w:val="004678BE"/>
    <w:rsid w:val="00470959"/>
    <w:rsid w:val="0047181B"/>
    <w:rsid w:val="004724A1"/>
    <w:rsid w:val="00473BA3"/>
    <w:rsid w:val="004747EB"/>
    <w:rsid w:val="00476418"/>
    <w:rsid w:val="00481E9F"/>
    <w:rsid w:val="00486130"/>
    <w:rsid w:val="00487EF5"/>
    <w:rsid w:val="00492650"/>
    <w:rsid w:val="00492B22"/>
    <w:rsid w:val="00494647"/>
    <w:rsid w:val="00494D7C"/>
    <w:rsid w:val="004A1929"/>
    <w:rsid w:val="004A49F0"/>
    <w:rsid w:val="004B13D2"/>
    <w:rsid w:val="004B13F7"/>
    <w:rsid w:val="004B36B9"/>
    <w:rsid w:val="004B3C67"/>
    <w:rsid w:val="004B637A"/>
    <w:rsid w:val="004B7673"/>
    <w:rsid w:val="004C14F4"/>
    <w:rsid w:val="004C1870"/>
    <w:rsid w:val="004C21C7"/>
    <w:rsid w:val="004C5B9C"/>
    <w:rsid w:val="004C640F"/>
    <w:rsid w:val="004C762C"/>
    <w:rsid w:val="004C7AEE"/>
    <w:rsid w:val="004D07A8"/>
    <w:rsid w:val="004D3765"/>
    <w:rsid w:val="004D4BE2"/>
    <w:rsid w:val="004D58C1"/>
    <w:rsid w:val="004D5AC3"/>
    <w:rsid w:val="004D7696"/>
    <w:rsid w:val="004E1975"/>
    <w:rsid w:val="004E48DA"/>
    <w:rsid w:val="004E6279"/>
    <w:rsid w:val="004E668B"/>
    <w:rsid w:val="004E6F3B"/>
    <w:rsid w:val="004F02D2"/>
    <w:rsid w:val="004F1FC7"/>
    <w:rsid w:val="004F4326"/>
    <w:rsid w:val="004F6EE6"/>
    <w:rsid w:val="004F75A0"/>
    <w:rsid w:val="005004B1"/>
    <w:rsid w:val="00500FB4"/>
    <w:rsid w:val="00501877"/>
    <w:rsid w:val="00503971"/>
    <w:rsid w:val="00505E92"/>
    <w:rsid w:val="0051287F"/>
    <w:rsid w:val="00512AED"/>
    <w:rsid w:val="00514208"/>
    <w:rsid w:val="0052238F"/>
    <w:rsid w:val="0052308D"/>
    <w:rsid w:val="005230EB"/>
    <w:rsid w:val="00524292"/>
    <w:rsid w:val="00527B9D"/>
    <w:rsid w:val="005325CC"/>
    <w:rsid w:val="00533577"/>
    <w:rsid w:val="005342A4"/>
    <w:rsid w:val="00534C63"/>
    <w:rsid w:val="00535C37"/>
    <w:rsid w:val="00536846"/>
    <w:rsid w:val="00541BF7"/>
    <w:rsid w:val="005438D1"/>
    <w:rsid w:val="00543CD1"/>
    <w:rsid w:val="00544C00"/>
    <w:rsid w:val="0055016C"/>
    <w:rsid w:val="005501D2"/>
    <w:rsid w:val="005522F2"/>
    <w:rsid w:val="005540D8"/>
    <w:rsid w:val="00555F38"/>
    <w:rsid w:val="00557DC9"/>
    <w:rsid w:val="005635C9"/>
    <w:rsid w:val="0056535A"/>
    <w:rsid w:val="00565949"/>
    <w:rsid w:val="005675A5"/>
    <w:rsid w:val="005676FE"/>
    <w:rsid w:val="00572357"/>
    <w:rsid w:val="005773A9"/>
    <w:rsid w:val="00582353"/>
    <w:rsid w:val="005823F5"/>
    <w:rsid w:val="0058395A"/>
    <w:rsid w:val="0058423D"/>
    <w:rsid w:val="005860E9"/>
    <w:rsid w:val="00590311"/>
    <w:rsid w:val="00590713"/>
    <w:rsid w:val="00590E0F"/>
    <w:rsid w:val="00592777"/>
    <w:rsid w:val="00592F21"/>
    <w:rsid w:val="005943FD"/>
    <w:rsid w:val="00594942"/>
    <w:rsid w:val="005968D1"/>
    <w:rsid w:val="005A04F3"/>
    <w:rsid w:val="005A10EC"/>
    <w:rsid w:val="005A12A8"/>
    <w:rsid w:val="005A41C0"/>
    <w:rsid w:val="005A4473"/>
    <w:rsid w:val="005A45BD"/>
    <w:rsid w:val="005A47CE"/>
    <w:rsid w:val="005A52A9"/>
    <w:rsid w:val="005A6481"/>
    <w:rsid w:val="005B0FEC"/>
    <w:rsid w:val="005B11EB"/>
    <w:rsid w:val="005B30ED"/>
    <w:rsid w:val="005B3470"/>
    <w:rsid w:val="005B37A1"/>
    <w:rsid w:val="005B3926"/>
    <w:rsid w:val="005B3957"/>
    <w:rsid w:val="005C0544"/>
    <w:rsid w:val="005C058A"/>
    <w:rsid w:val="005C0958"/>
    <w:rsid w:val="005C1A75"/>
    <w:rsid w:val="005C1C9D"/>
    <w:rsid w:val="005C1EF4"/>
    <w:rsid w:val="005C2888"/>
    <w:rsid w:val="005C41A2"/>
    <w:rsid w:val="005C5156"/>
    <w:rsid w:val="005C60F3"/>
    <w:rsid w:val="005C67A2"/>
    <w:rsid w:val="005D1077"/>
    <w:rsid w:val="005D335D"/>
    <w:rsid w:val="005D4F34"/>
    <w:rsid w:val="005D533D"/>
    <w:rsid w:val="005D6AEC"/>
    <w:rsid w:val="005D744F"/>
    <w:rsid w:val="005E2ADC"/>
    <w:rsid w:val="005E36C9"/>
    <w:rsid w:val="005E63A8"/>
    <w:rsid w:val="005F0FCC"/>
    <w:rsid w:val="005F14DA"/>
    <w:rsid w:val="005F257A"/>
    <w:rsid w:val="005F3189"/>
    <w:rsid w:val="005F31AC"/>
    <w:rsid w:val="005F6A89"/>
    <w:rsid w:val="00601664"/>
    <w:rsid w:val="00603A3D"/>
    <w:rsid w:val="00603C1D"/>
    <w:rsid w:val="0060641A"/>
    <w:rsid w:val="00606727"/>
    <w:rsid w:val="00612C15"/>
    <w:rsid w:val="00613642"/>
    <w:rsid w:val="006136E6"/>
    <w:rsid w:val="006141D0"/>
    <w:rsid w:val="0061553E"/>
    <w:rsid w:val="00616107"/>
    <w:rsid w:val="006235EE"/>
    <w:rsid w:val="006240C6"/>
    <w:rsid w:val="006302E2"/>
    <w:rsid w:val="00630AD6"/>
    <w:rsid w:val="00630B63"/>
    <w:rsid w:val="00631C4B"/>
    <w:rsid w:val="006333FF"/>
    <w:rsid w:val="00634CFB"/>
    <w:rsid w:val="00635874"/>
    <w:rsid w:val="006424DB"/>
    <w:rsid w:val="00643A07"/>
    <w:rsid w:val="00644455"/>
    <w:rsid w:val="00646BCA"/>
    <w:rsid w:val="00646EA3"/>
    <w:rsid w:val="006470AE"/>
    <w:rsid w:val="006474FB"/>
    <w:rsid w:val="00651029"/>
    <w:rsid w:val="006517ED"/>
    <w:rsid w:val="00652CDE"/>
    <w:rsid w:val="00654F3C"/>
    <w:rsid w:val="00655D33"/>
    <w:rsid w:val="006666F7"/>
    <w:rsid w:val="006708ED"/>
    <w:rsid w:val="00671CC2"/>
    <w:rsid w:val="00671D80"/>
    <w:rsid w:val="00675D5F"/>
    <w:rsid w:val="006767C0"/>
    <w:rsid w:val="00680081"/>
    <w:rsid w:val="00681E86"/>
    <w:rsid w:val="00685167"/>
    <w:rsid w:val="00687389"/>
    <w:rsid w:val="006873F1"/>
    <w:rsid w:val="0069062A"/>
    <w:rsid w:val="0069072E"/>
    <w:rsid w:val="00692A24"/>
    <w:rsid w:val="0069480A"/>
    <w:rsid w:val="006952F7"/>
    <w:rsid w:val="00696814"/>
    <w:rsid w:val="0069684D"/>
    <w:rsid w:val="006976B6"/>
    <w:rsid w:val="00697B96"/>
    <w:rsid w:val="006A00C5"/>
    <w:rsid w:val="006A099E"/>
    <w:rsid w:val="006A12EA"/>
    <w:rsid w:val="006A14D5"/>
    <w:rsid w:val="006A17BD"/>
    <w:rsid w:val="006A2AA2"/>
    <w:rsid w:val="006A30A3"/>
    <w:rsid w:val="006A33F0"/>
    <w:rsid w:val="006A361C"/>
    <w:rsid w:val="006A4192"/>
    <w:rsid w:val="006A5F5B"/>
    <w:rsid w:val="006B1F3D"/>
    <w:rsid w:val="006B3516"/>
    <w:rsid w:val="006B3F6C"/>
    <w:rsid w:val="006B620E"/>
    <w:rsid w:val="006B6B31"/>
    <w:rsid w:val="006B747D"/>
    <w:rsid w:val="006C0A33"/>
    <w:rsid w:val="006C0A4A"/>
    <w:rsid w:val="006C0E06"/>
    <w:rsid w:val="006C308C"/>
    <w:rsid w:val="006C4CDB"/>
    <w:rsid w:val="006C5C14"/>
    <w:rsid w:val="006C7234"/>
    <w:rsid w:val="006D0F1D"/>
    <w:rsid w:val="006D3687"/>
    <w:rsid w:val="006D72B8"/>
    <w:rsid w:val="006E1057"/>
    <w:rsid w:val="006E183F"/>
    <w:rsid w:val="006E18FD"/>
    <w:rsid w:val="006E190B"/>
    <w:rsid w:val="006E289E"/>
    <w:rsid w:val="006E3140"/>
    <w:rsid w:val="006E4DF8"/>
    <w:rsid w:val="006E5496"/>
    <w:rsid w:val="006E7C64"/>
    <w:rsid w:val="006F02ED"/>
    <w:rsid w:val="006F131B"/>
    <w:rsid w:val="006F315C"/>
    <w:rsid w:val="007004C2"/>
    <w:rsid w:val="00700AB7"/>
    <w:rsid w:val="00702455"/>
    <w:rsid w:val="007028F5"/>
    <w:rsid w:val="00702A56"/>
    <w:rsid w:val="00702BA1"/>
    <w:rsid w:val="007109F0"/>
    <w:rsid w:val="0071296E"/>
    <w:rsid w:val="00714E98"/>
    <w:rsid w:val="00716EAD"/>
    <w:rsid w:val="0071769D"/>
    <w:rsid w:val="00717AFE"/>
    <w:rsid w:val="0072423B"/>
    <w:rsid w:val="007303AC"/>
    <w:rsid w:val="00730FFE"/>
    <w:rsid w:val="0073124A"/>
    <w:rsid w:val="00731920"/>
    <w:rsid w:val="0073276B"/>
    <w:rsid w:val="00733882"/>
    <w:rsid w:val="007421E4"/>
    <w:rsid w:val="007424D1"/>
    <w:rsid w:val="0074350D"/>
    <w:rsid w:val="00743BAA"/>
    <w:rsid w:val="00745539"/>
    <w:rsid w:val="007462D9"/>
    <w:rsid w:val="00750D4B"/>
    <w:rsid w:val="00751E11"/>
    <w:rsid w:val="00752D07"/>
    <w:rsid w:val="00754099"/>
    <w:rsid w:val="007543F9"/>
    <w:rsid w:val="0075615C"/>
    <w:rsid w:val="00756F8E"/>
    <w:rsid w:val="00764D9C"/>
    <w:rsid w:val="00765FE0"/>
    <w:rsid w:val="007677EE"/>
    <w:rsid w:val="00771C6A"/>
    <w:rsid w:val="00772202"/>
    <w:rsid w:val="007724C2"/>
    <w:rsid w:val="00772F76"/>
    <w:rsid w:val="0077427A"/>
    <w:rsid w:val="00775FA0"/>
    <w:rsid w:val="00777137"/>
    <w:rsid w:val="0077728A"/>
    <w:rsid w:val="007809FB"/>
    <w:rsid w:val="00781363"/>
    <w:rsid w:val="00782E36"/>
    <w:rsid w:val="007839CF"/>
    <w:rsid w:val="00783EEC"/>
    <w:rsid w:val="00787851"/>
    <w:rsid w:val="00791FD2"/>
    <w:rsid w:val="00792171"/>
    <w:rsid w:val="007943A5"/>
    <w:rsid w:val="007A0244"/>
    <w:rsid w:val="007A045F"/>
    <w:rsid w:val="007A0763"/>
    <w:rsid w:val="007A1B29"/>
    <w:rsid w:val="007A3588"/>
    <w:rsid w:val="007A4164"/>
    <w:rsid w:val="007A58D6"/>
    <w:rsid w:val="007A6874"/>
    <w:rsid w:val="007A6ECA"/>
    <w:rsid w:val="007B4254"/>
    <w:rsid w:val="007B6BB3"/>
    <w:rsid w:val="007C135E"/>
    <w:rsid w:val="007C31E2"/>
    <w:rsid w:val="007C36AC"/>
    <w:rsid w:val="007C466B"/>
    <w:rsid w:val="007C4A00"/>
    <w:rsid w:val="007C518D"/>
    <w:rsid w:val="007D2565"/>
    <w:rsid w:val="007D2570"/>
    <w:rsid w:val="007D287D"/>
    <w:rsid w:val="007D4FD9"/>
    <w:rsid w:val="007D6CA3"/>
    <w:rsid w:val="007D74FB"/>
    <w:rsid w:val="007D7559"/>
    <w:rsid w:val="007D7F28"/>
    <w:rsid w:val="007D7F7A"/>
    <w:rsid w:val="007E0A3D"/>
    <w:rsid w:val="007E3352"/>
    <w:rsid w:val="007E450B"/>
    <w:rsid w:val="007E52C3"/>
    <w:rsid w:val="007E5CDF"/>
    <w:rsid w:val="007F1727"/>
    <w:rsid w:val="007F219B"/>
    <w:rsid w:val="007F4D88"/>
    <w:rsid w:val="007F539A"/>
    <w:rsid w:val="007F6CCC"/>
    <w:rsid w:val="007F6CCE"/>
    <w:rsid w:val="007F7CCF"/>
    <w:rsid w:val="00802789"/>
    <w:rsid w:val="0080290D"/>
    <w:rsid w:val="00802B9E"/>
    <w:rsid w:val="00803FFE"/>
    <w:rsid w:val="00804D9B"/>
    <w:rsid w:val="0080527D"/>
    <w:rsid w:val="00805E73"/>
    <w:rsid w:val="0080620E"/>
    <w:rsid w:val="00807C51"/>
    <w:rsid w:val="0081084A"/>
    <w:rsid w:val="008128B7"/>
    <w:rsid w:val="00813D9E"/>
    <w:rsid w:val="008144F3"/>
    <w:rsid w:val="00814829"/>
    <w:rsid w:val="0081699D"/>
    <w:rsid w:val="00820680"/>
    <w:rsid w:val="00821163"/>
    <w:rsid w:val="00822711"/>
    <w:rsid w:val="0082290C"/>
    <w:rsid w:val="0082373C"/>
    <w:rsid w:val="008269DF"/>
    <w:rsid w:val="00827D80"/>
    <w:rsid w:val="00831C1B"/>
    <w:rsid w:val="0083420A"/>
    <w:rsid w:val="00834AB5"/>
    <w:rsid w:val="0083724E"/>
    <w:rsid w:val="0084145C"/>
    <w:rsid w:val="00844D18"/>
    <w:rsid w:val="00844E3D"/>
    <w:rsid w:val="00845A41"/>
    <w:rsid w:val="00846CAC"/>
    <w:rsid w:val="00847BED"/>
    <w:rsid w:val="0085041A"/>
    <w:rsid w:val="008511C4"/>
    <w:rsid w:val="00851D0B"/>
    <w:rsid w:val="0085621B"/>
    <w:rsid w:val="00856605"/>
    <w:rsid w:val="00857886"/>
    <w:rsid w:val="008615C9"/>
    <w:rsid w:val="00861B30"/>
    <w:rsid w:val="00864271"/>
    <w:rsid w:val="0086630A"/>
    <w:rsid w:val="00866D26"/>
    <w:rsid w:val="00870AE9"/>
    <w:rsid w:val="00872042"/>
    <w:rsid w:val="00874FBF"/>
    <w:rsid w:val="00875B81"/>
    <w:rsid w:val="00877A41"/>
    <w:rsid w:val="00882706"/>
    <w:rsid w:val="008848FF"/>
    <w:rsid w:val="00887FB8"/>
    <w:rsid w:val="008915B5"/>
    <w:rsid w:val="0089397A"/>
    <w:rsid w:val="00894064"/>
    <w:rsid w:val="00895870"/>
    <w:rsid w:val="008A472B"/>
    <w:rsid w:val="008A4989"/>
    <w:rsid w:val="008A4F7E"/>
    <w:rsid w:val="008A6FE3"/>
    <w:rsid w:val="008A7288"/>
    <w:rsid w:val="008B0FFE"/>
    <w:rsid w:val="008B3352"/>
    <w:rsid w:val="008B36A0"/>
    <w:rsid w:val="008B66E4"/>
    <w:rsid w:val="008C084F"/>
    <w:rsid w:val="008C087A"/>
    <w:rsid w:val="008C1940"/>
    <w:rsid w:val="008C6225"/>
    <w:rsid w:val="008C68BE"/>
    <w:rsid w:val="008D0C99"/>
    <w:rsid w:val="008D1032"/>
    <w:rsid w:val="008D13BA"/>
    <w:rsid w:val="008D1F09"/>
    <w:rsid w:val="008D28B8"/>
    <w:rsid w:val="008D3C10"/>
    <w:rsid w:val="008D5AB5"/>
    <w:rsid w:val="008E1373"/>
    <w:rsid w:val="008F016F"/>
    <w:rsid w:val="008F083E"/>
    <w:rsid w:val="008F3D63"/>
    <w:rsid w:val="008F5FFE"/>
    <w:rsid w:val="008F7795"/>
    <w:rsid w:val="008F7A42"/>
    <w:rsid w:val="009002F8"/>
    <w:rsid w:val="009029A6"/>
    <w:rsid w:val="00904BAC"/>
    <w:rsid w:val="00904D01"/>
    <w:rsid w:val="00905914"/>
    <w:rsid w:val="00905DA6"/>
    <w:rsid w:val="00906DEF"/>
    <w:rsid w:val="00910CB3"/>
    <w:rsid w:val="00911168"/>
    <w:rsid w:val="0091223E"/>
    <w:rsid w:val="00917B18"/>
    <w:rsid w:val="00917C0B"/>
    <w:rsid w:val="009225B9"/>
    <w:rsid w:val="00922F59"/>
    <w:rsid w:val="00924A78"/>
    <w:rsid w:val="00925C13"/>
    <w:rsid w:val="009268BD"/>
    <w:rsid w:val="00930462"/>
    <w:rsid w:val="00935304"/>
    <w:rsid w:val="009363BF"/>
    <w:rsid w:val="009368E4"/>
    <w:rsid w:val="00937D5D"/>
    <w:rsid w:val="00942AC5"/>
    <w:rsid w:val="00950E03"/>
    <w:rsid w:val="0095154A"/>
    <w:rsid w:val="009532B6"/>
    <w:rsid w:val="00955250"/>
    <w:rsid w:val="00956003"/>
    <w:rsid w:val="00956F08"/>
    <w:rsid w:val="00957C5A"/>
    <w:rsid w:val="0096087C"/>
    <w:rsid w:val="00961629"/>
    <w:rsid w:val="00964181"/>
    <w:rsid w:val="00964A56"/>
    <w:rsid w:val="009666A2"/>
    <w:rsid w:val="0097002B"/>
    <w:rsid w:val="009706C6"/>
    <w:rsid w:val="00971100"/>
    <w:rsid w:val="00971E2B"/>
    <w:rsid w:val="00972690"/>
    <w:rsid w:val="00972DAD"/>
    <w:rsid w:val="0097322E"/>
    <w:rsid w:val="009775A6"/>
    <w:rsid w:val="00977CA6"/>
    <w:rsid w:val="009857EC"/>
    <w:rsid w:val="00985FD0"/>
    <w:rsid w:val="009860B0"/>
    <w:rsid w:val="00986BE8"/>
    <w:rsid w:val="00987498"/>
    <w:rsid w:val="009921BE"/>
    <w:rsid w:val="0099238A"/>
    <w:rsid w:val="009931C5"/>
    <w:rsid w:val="0099448F"/>
    <w:rsid w:val="00994E47"/>
    <w:rsid w:val="00995D56"/>
    <w:rsid w:val="009A051D"/>
    <w:rsid w:val="009A3265"/>
    <w:rsid w:val="009A3FF3"/>
    <w:rsid w:val="009A53DE"/>
    <w:rsid w:val="009A7760"/>
    <w:rsid w:val="009A7D58"/>
    <w:rsid w:val="009B02EA"/>
    <w:rsid w:val="009B0ACA"/>
    <w:rsid w:val="009B19A7"/>
    <w:rsid w:val="009B2098"/>
    <w:rsid w:val="009B28A8"/>
    <w:rsid w:val="009B33D2"/>
    <w:rsid w:val="009B4F59"/>
    <w:rsid w:val="009B61FF"/>
    <w:rsid w:val="009B6788"/>
    <w:rsid w:val="009B6C0B"/>
    <w:rsid w:val="009B712F"/>
    <w:rsid w:val="009B7A2B"/>
    <w:rsid w:val="009C18C7"/>
    <w:rsid w:val="009C42DE"/>
    <w:rsid w:val="009C6DAC"/>
    <w:rsid w:val="009C7DC7"/>
    <w:rsid w:val="009C7F7E"/>
    <w:rsid w:val="009D0028"/>
    <w:rsid w:val="009D07FD"/>
    <w:rsid w:val="009D08F0"/>
    <w:rsid w:val="009D0D3A"/>
    <w:rsid w:val="009D245E"/>
    <w:rsid w:val="009D27A8"/>
    <w:rsid w:val="009D2FC3"/>
    <w:rsid w:val="009D414F"/>
    <w:rsid w:val="009D58D8"/>
    <w:rsid w:val="009E3B3B"/>
    <w:rsid w:val="009E3C63"/>
    <w:rsid w:val="009E4718"/>
    <w:rsid w:val="009E64FE"/>
    <w:rsid w:val="009E6CF5"/>
    <w:rsid w:val="009E6F88"/>
    <w:rsid w:val="009F107B"/>
    <w:rsid w:val="009F1F62"/>
    <w:rsid w:val="00A018A2"/>
    <w:rsid w:val="00A04F82"/>
    <w:rsid w:val="00A050EB"/>
    <w:rsid w:val="00A07213"/>
    <w:rsid w:val="00A07F87"/>
    <w:rsid w:val="00A11CFC"/>
    <w:rsid w:val="00A2208E"/>
    <w:rsid w:val="00A235CD"/>
    <w:rsid w:val="00A23786"/>
    <w:rsid w:val="00A240EC"/>
    <w:rsid w:val="00A24933"/>
    <w:rsid w:val="00A27391"/>
    <w:rsid w:val="00A30B64"/>
    <w:rsid w:val="00A31AB5"/>
    <w:rsid w:val="00A3556B"/>
    <w:rsid w:val="00A35CAF"/>
    <w:rsid w:val="00A35CCD"/>
    <w:rsid w:val="00A36A6E"/>
    <w:rsid w:val="00A43EF7"/>
    <w:rsid w:val="00A4402D"/>
    <w:rsid w:val="00A441E3"/>
    <w:rsid w:val="00A45B05"/>
    <w:rsid w:val="00A45DC9"/>
    <w:rsid w:val="00A466A5"/>
    <w:rsid w:val="00A47C88"/>
    <w:rsid w:val="00A53B98"/>
    <w:rsid w:val="00A55563"/>
    <w:rsid w:val="00A57589"/>
    <w:rsid w:val="00A5794F"/>
    <w:rsid w:val="00A57F70"/>
    <w:rsid w:val="00A617B5"/>
    <w:rsid w:val="00A61917"/>
    <w:rsid w:val="00A63285"/>
    <w:rsid w:val="00A63672"/>
    <w:rsid w:val="00A648DC"/>
    <w:rsid w:val="00A65B07"/>
    <w:rsid w:val="00A66223"/>
    <w:rsid w:val="00A67196"/>
    <w:rsid w:val="00A7000D"/>
    <w:rsid w:val="00A7411F"/>
    <w:rsid w:val="00A74E1C"/>
    <w:rsid w:val="00A75561"/>
    <w:rsid w:val="00A7688E"/>
    <w:rsid w:val="00A818EE"/>
    <w:rsid w:val="00A82E96"/>
    <w:rsid w:val="00A8384A"/>
    <w:rsid w:val="00A900EA"/>
    <w:rsid w:val="00A9162E"/>
    <w:rsid w:val="00A916AD"/>
    <w:rsid w:val="00A93AA1"/>
    <w:rsid w:val="00A93F22"/>
    <w:rsid w:val="00A951AD"/>
    <w:rsid w:val="00A96608"/>
    <w:rsid w:val="00A97C63"/>
    <w:rsid w:val="00AA0CF0"/>
    <w:rsid w:val="00AA17EF"/>
    <w:rsid w:val="00AA20B2"/>
    <w:rsid w:val="00AA2D92"/>
    <w:rsid w:val="00AA5B8D"/>
    <w:rsid w:val="00AA5E8F"/>
    <w:rsid w:val="00AA7856"/>
    <w:rsid w:val="00AB155C"/>
    <w:rsid w:val="00AB25FC"/>
    <w:rsid w:val="00AB3127"/>
    <w:rsid w:val="00AB6B5D"/>
    <w:rsid w:val="00AB7613"/>
    <w:rsid w:val="00AC1A25"/>
    <w:rsid w:val="00AC3012"/>
    <w:rsid w:val="00AC6EAF"/>
    <w:rsid w:val="00AD0D9D"/>
    <w:rsid w:val="00AD184D"/>
    <w:rsid w:val="00AD3E14"/>
    <w:rsid w:val="00AD5EE9"/>
    <w:rsid w:val="00AE07E3"/>
    <w:rsid w:val="00AE244A"/>
    <w:rsid w:val="00AE333F"/>
    <w:rsid w:val="00AE61A9"/>
    <w:rsid w:val="00AE6D52"/>
    <w:rsid w:val="00AE766A"/>
    <w:rsid w:val="00AE7EBF"/>
    <w:rsid w:val="00AF093B"/>
    <w:rsid w:val="00AF3B1D"/>
    <w:rsid w:val="00AF4731"/>
    <w:rsid w:val="00AF5664"/>
    <w:rsid w:val="00AF6595"/>
    <w:rsid w:val="00AF7D8E"/>
    <w:rsid w:val="00B02FC0"/>
    <w:rsid w:val="00B0564D"/>
    <w:rsid w:val="00B0571C"/>
    <w:rsid w:val="00B058D4"/>
    <w:rsid w:val="00B06E96"/>
    <w:rsid w:val="00B11355"/>
    <w:rsid w:val="00B11BC2"/>
    <w:rsid w:val="00B1218C"/>
    <w:rsid w:val="00B14667"/>
    <w:rsid w:val="00B15120"/>
    <w:rsid w:val="00B15A5D"/>
    <w:rsid w:val="00B15D02"/>
    <w:rsid w:val="00B27F36"/>
    <w:rsid w:val="00B303B1"/>
    <w:rsid w:val="00B31967"/>
    <w:rsid w:val="00B362E5"/>
    <w:rsid w:val="00B36455"/>
    <w:rsid w:val="00B41746"/>
    <w:rsid w:val="00B433EA"/>
    <w:rsid w:val="00B44AB7"/>
    <w:rsid w:val="00B47A52"/>
    <w:rsid w:val="00B50FAA"/>
    <w:rsid w:val="00B541CB"/>
    <w:rsid w:val="00B546D4"/>
    <w:rsid w:val="00B551BC"/>
    <w:rsid w:val="00B6058A"/>
    <w:rsid w:val="00B60A47"/>
    <w:rsid w:val="00B60CF4"/>
    <w:rsid w:val="00B60D93"/>
    <w:rsid w:val="00B60FBF"/>
    <w:rsid w:val="00B658AD"/>
    <w:rsid w:val="00B65938"/>
    <w:rsid w:val="00B715EF"/>
    <w:rsid w:val="00B73223"/>
    <w:rsid w:val="00B739DB"/>
    <w:rsid w:val="00B76F17"/>
    <w:rsid w:val="00B777DF"/>
    <w:rsid w:val="00B82EAD"/>
    <w:rsid w:val="00B8318C"/>
    <w:rsid w:val="00B840FF"/>
    <w:rsid w:val="00B85760"/>
    <w:rsid w:val="00B85B8B"/>
    <w:rsid w:val="00B877C9"/>
    <w:rsid w:val="00B92260"/>
    <w:rsid w:val="00B94214"/>
    <w:rsid w:val="00B9496F"/>
    <w:rsid w:val="00B950BE"/>
    <w:rsid w:val="00B9723F"/>
    <w:rsid w:val="00B97290"/>
    <w:rsid w:val="00BA3A6A"/>
    <w:rsid w:val="00BA3DF5"/>
    <w:rsid w:val="00BA672F"/>
    <w:rsid w:val="00BA6769"/>
    <w:rsid w:val="00BA6E65"/>
    <w:rsid w:val="00BA7B7F"/>
    <w:rsid w:val="00BB15C1"/>
    <w:rsid w:val="00BB1FDE"/>
    <w:rsid w:val="00BB292A"/>
    <w:rsid w:val="00BB2DDF"/>
    <w:rsid w:val="00BB2F9D"/>
    <w:rsid w:val="00BB33B7"/>
    <w:rsid w:val="00BB5D54"/>
    <w:rsid w:val="00BB6DDE"/>
    <w:rsid w:val="00BC1223"/>
    <w:rsid w:val="00BC1717"/>
    <w:rsid w:val="00BC3241"/>
    <w:rsid w:val="00BC42EB"/>
    <w:rsid w:val="00BC63A7"/>
    <w:rsid w:val="00BC6475"/>
    <w:rsid w:val="00BC7AD3"/>
    <w:rsid w:val="00BD08E4"/>
    <w:rsid w:val="00BD0E91"/>
    <w:rsid w:val="00BD37DD"/>
    <w:rsid w:val="00BD3A50"/>
    <w:rsid w:val="00BD3B63"/>
    <w:rsid w:val="00BD4293"/>
    <w:rsid w:val="00BD5F58"/>
    <w:rsid w:val="00BD61D5"/>
    <w:rsid w:val="00BE5C35"/>
    <w:rsid w:val="00BE61B5"/>
    <w:rsid w:val="00BE6735"/>
    <w:rsid w:val="00BF0598"/>
    <w:rsid w:val="00BF0A25"/>
    <w:rsid w:val="00BF16E0"/>
    <w:rsid w:val="00BF2617"/>
    <w:rsid w:val="00BF4910"/>
    <w:rsid w:val="00BF524F"/>
    <w:rsid w:val="00BF7253"/>
    <w:rsid w:val="00C00A72"/>
    <w:rsid w:val="00C00C53"/>
    <w:rsid w:val="00C03B00"/>
    <w:rsid w:val="00C043BB"/>
    <w:rsid w:val="00C054BF"/>
    <w:rsid w:val="00C105C2"/>
    <w:rsid w:val="00C11180"/>
    <w:rsid w:val="00C15879"/>
    <w:rsid w:val="00C16181"/>
    <w:rsid w:val="00C20653"/>
    <w:rsid w:val="00C22A87"/>
    <w:rsid w:val="00C25A97"/>
    <w:rsid w:val="00C25D7C"/>
    <w:rsid w:val="00C30FC9"/>
    <w:rsid w:val="00C332B5"/>
    <w:rsid w:val="00C3360D"/>
    <w:rsid w:val="00C35C8F"/>
    <w:rsid w:val="00C410D5"/>
    <w:rsid w:val="00C42BB0"/>
    <w:rsid w:val="00C43681"/>
    <w:rsid w:val="00C440F9"/>
    <w:rsid w:val="00C45491"/>
    <w:rsid w:val="00C5005C"/>
    <w:rsid w:val="00C51B4F"/>
    <w:rsid w:val="00C527F3"/>
    <w:rsid w:val="00C5281E"/>
    <w:rsid w:val="00C54E81"/>
    <w:rsid w:val="00C567EA"/>
    <w:rsid w:val="00C60DDC"/>
    <w:rsid w:val="00C62B40"/>
    <w:rsid w:val="00C62E0A"/>
    <w:rsid w:val="00C6491B"/>
    <w:rsid w:val="00C6696D"/>
    <w:rsid w:val="00C6734B"/>
    <w:rsid w:val="00C706A9"/>
    <w:rsid w:val="00C73123"/>
    <w:rsid w:val="00C733AC"/>
    <w:rsid w:val="00C741C2"/>
    <w:rsid w:val="00C75BC7"/>
    <w:rsid w:val="00C75CE0"/>
    <w:rsid w:val="00C7603C"/>
    <w:rsid w:val="00C7627F"/>
    <w:rsid w:val="00C764C1"/>
    <w:rsid w:val="00C77010"/>
    <w:rsid w:val="00C80A4C"/>
    <w:rsid w:val="00C83FDF"/>
    <w:rsid w:val="00C84E97"/>
    <w:rsid w:val="00C854FA"/>
    <w:rsid w:val="00C87CBA"/>
    <w:rsid w:val="00C916AA"/>
    <w:rsid w:val="00C92821"/>
    <w:rsid w:val="00C9451E"/>
    <w:rsid w:val="00C975F4"/>
    <w:rsid w:val="00CA0ABC"/>
    <w:rsid w:val="00CA106D"/>
    <w:rsid w:val="00CA1B4F"/>
    <w:rsid w:val="00CA3203"/>
    <w:rsid w:val="00CA6663"/>
    <w:rsid w:val="00CA6B1A"/>
    <w:rsid w:val="00CA709D"/>
    <w:rsid w:val="00CB0927"/>
    <w:rsid w:val="00CB0A06"/>
    <w:rsid w:val="00CB1A52"/>
    <w:rsid w:val="00CB51E4"/>
    <w:rsid w:val="00CB5259"/>
    <w:rsid w:val="00CB58D1"/>
    <w:rsid w:val="00CB64E3"/>
    <w:rsid w:val="00CC05AF"/>
    <w:rsid w:val="00CC06F0"/>
    <w:rsid w:val="00CC2296"/>
    <w:rsid w:val="00CC2EBF"/>
    <w:rsid w:val="00CC3027"/>
    <w:rsid w:val="00CC3219"/>
    <w:rsid w:val="00CC36A2"/>
    <w:rsid w:val="00CC41C9"/>
    <w:rsid w:val="00CC4CA9"/>
    <w:rsid w:val="00CD3705"/>
    <w:rsid w:val="00CD468E"/>
    <w:rsid w:val="00CD4B4D"/>
    <w:rsid w:val="00CE041D"/>
    <w:rsid w:val="00CE2EBE"/>
    <w:rsid w:val="00CE3CC5"/>
    <w:rsid w:val="00CE43BC"/>
    <w:rsid w:val="00CE67CD"/>
    <w:rsid w:val="00CE705F"/>
    <w:rsid w:val="00CE7D14"/>
    <w:rsid w:val="00CF0C8F"/>
    <w:rsid w:val="00CF1470"/>
    <w:rsid w:val="00CF1CF9"/>
    <w:rsid w:val="00CF2CBF"/>
    <w:rsid w:val="00CF367B"/>
    <w:rsid w:val="00CF3988"/>
    <w:rsid w:val="00CF3A9F"/>
    <w:rsid w:val="00CF40B2"/>
    <w:rsid w:val="00CF5A5E"/>
    <w:rsid w:val="00CF6F66"/>
    <w:rsid w:val="00CF7BAA"/>
    <w:rsid w:val="00D00FAC"/>
    <w:rsid w:val="00D019A4"/>
    <w:rsid w:val="00D01C36"/>
    <w:rsid w:val="00D04813"/>
    <w:rsid w:val="00D04C6F"/>
    <w:rsid w:val="00D0516B"/>
    <w:rsid w:val="00D05316"/>
    <w:rsid w:val="00D05D6C"/>
    <w:rsid w:val="00D07B20"/>
    <w:rsid w:val="00D1093A"/>
    <w:rsid w:val="00D1137D"/>
    <w:rsid w:val="00D11B87"/>
    <w:rsid w:val="00D1287D"/>
    <w:rsid w:val="00D129E5"/>
    <w:rsid w:val="00D15699"/>
    <w:rsid w:val="00D15C91"/>
    <w:rsid w:val="00D169BA"/>
    <w:rsid w:val="00D17229"/>
    <w:rsid w:val="00D17CD0"/>
    <w:rsid w:val="00D17D55"/>
    <w:rsid w:val="00D20643"/>
    <w:rsid w:val="00D215DE"/>
    <w:rsid w:val="00D23CBA"/>
    <w:rsid w:val="00D245B9"/>
    <w:rsid w:val="00D24C47"/>
    <w:rsid w:val="00D30149"/>
    <w:rsid w:val="00D31744"/>
    <w:rsid w:val="00D31A47"/>
    <w:rsid w:val="00D31F2F"/>
    <w:rsid w:val="00D327DD"/>
    <w:rsid w:val="00D36933"/>
    <w:rsid w:val="00D37217"/>
    <w:rsid w:val="00D37D7B"/>
    <w:rsid w:val="00D40B15"/>
    <w:rsid w:val="00D4153A"/>
    <w:rsid w:val="00D425EA"/>
    <w:rsid w:val="00D437FB"/>
    <w:rsid w:val="00D44DA4"/>
    <w:rsid w:val="00D45898"/>
    <w:rsid w:val="00D46ABD"/>
    <w:rsid w:val="00D516F8"/>
    <w:rsid w:val="00D518F4"/>
    <w:rsid w:val="00D51A51"/>
    <w:rsid w:val="00D51A6E"/>
    <w:rsid w:val="00D52372"/>
    <w:rsid w:val="00D544AB"/>
    <w:rsid w:val="00D54684"/>
    <w:rsid w:val="00D57C2F"/>
    <w:rsid w:val="00D57F61"/>
    <w:rsid w:val="00D601DE"/>
    <w:rsid w:val="00D649C9"/>
    <w:rsid w:val="00D654CB"/>
    <w:rsid w:val="00D65F79"/>
    <w:rsid w:val="00D71342"/>
    <w:rsid w:val="00D74AF4"/>
    <w:rsid w:val="00D75BC3"/>
    <w:rsid w:val="00D767AE"/>
    <w:rsid w:val="00D77179"/>
    <w:rsid w:val="00D775BE"/>
    <w:rsid w:val="00D777F0"/>
    <w:rsid w:val="00D77C3A"/>
    <w:rsid w:val="00D77DF8"/>
    <w:rsid w:val="00D822EA"/>
    <w:rsid w:val="00D82A26"/>
    <w:rsid w:val="00D8308B"/>
    <w:rsid w:val="00D83F3C"/>
    <w:rsid w:val="00D84526"/>
    <w:rsid w:val="00D8702A"/>
    <w:rsid w:val="00D87546"/>
    <w:rsid w:val="00D90154"/>
    <w:rsid w:val="00D90FCA"/>
    <w:rsid w:val="00D92CB5"/>
    <w:rsid w:val="00D9376C"/>
    <w:rsid w:val="00D94589"/>
    <w:rsid w:val="00D962DF"/>
    <w:rsid w:val="00D96849"/>
    <w:rsid w:val="00DA1037"/>
    <w:rsid w:val="00DA34BC"/>
    <w:rsid w:val="00DA48F4"/>
    <w:rsid w:val="00DA7DEB"/>
    <w:rsid w:val="00DB31FC"/>
    <w:rsid w:val="00DB32B2"/>
    <w:rsid w:val="00DB524C"/>
    <w:rsid w:val="00DB69EE"/>
    <w:rsid w:val="00DC126F"/>
    <w:rsid w:val="00DC1516"/>
    <w:rsid w:val="00DC242A"/>
    <w:rsid w:val="00DD081F"/>
    <w:rsid w:val="00DD4E6C"/>
    <w:rsid w:val="00DD6F08"/>
    <w:rsid w:val="00DD7020"/>
    <w:rsid w:val="00DD7F4E"/>
    <w:rsid w:val="00DE09F3"/>
    <w:rsid w:val="00DE0D75"/>
    <w:rsid w:val="00DE12CC"/>
    <w:rsid w:val="00DE42BA"/>
    <w:rsid w:val="00DE762E"/>
    <w:rsid w:val="00DF073A"/>
    <w:rsid w:val="00DF1097"/>
    <w:rsid w:val="00DF343A"/>
    <w:rsid w:val="00DF4374"/>
    <w:rsid w:val="00DF5F6D"/>
    <w:rsid w:val="00DF68C7"/>
    <w:rsid w:val="00DF7A16"/>
    <w:rsid w:val="00E02254"/>
    <w:rsid w:val="00E057AC"/>
    <w:rsid w:val="00E0736D"/>
    <w:rsid w:val="00E07CDB"/>
    <w:rsid w:val="00E11AF4"/>
    <w:rsid w:val="00E11BC8"/>
    <w:rsid w:val="00E140AE"/>
    <w:rsid w:val="00E1433F"/>
    <w:rsid w:val="00E1765C"/>
    <w:rsid w:val="00E21274"/>
    <w:rsid w:val="00E2137C"/>
    <w:rsid w:val="00E2242B"/>
    <w:rsid w:val="00E22AB2"/>
    <w:rsid w:val="00E22F69"/>
    <w:rsid w:val="00E23FEE"/>
    <w:rsid w:val="00E26269"/>
    <w:rsid w:val="00E321A8"/>
    <w:rsid w:val="00E3281C"/>
    <w:rsid w:val="00E352BD"/>
    <w:rsid w:val="00E35305"/>
    <w:rsid w:val="00E378A8"/>
    <w:rsid w:val="00E43AF3"/>
    <w:rsid w:val="00E43B2F"/>
    <w:rsid w:val="00E43E7E"/>
    <w:rsid w:val="00E44FCC"/>
    <w:rsid w:val="00E455BC"/>
    <w:rsid w:val="00E45AC0"/>
    <w:rsid w:val="00E467BE"/>
    <w:rsid w:val="00E536FF"/>
    <w:rsid w:val="00E541ED"/>
    <w:rsid w:val="00E55852"/>
    <w:rsid w:val="00E56A74"/>
    <w:rsid w:val="00E578AC"/>
    <w:rsid w:val="00E60909"/>
    <w:rsid w:val="00E61732"/>
    <w:rsid w:val="00E64107"/>
    <w:rsid w:val="00E66582"/>
    <w:rsid w:val="00E6659A"/>
    <w:rsid w:val="00E6764C"/>
    <w:rsid w:val="00E677E3"/>
    <w:rsid w:val="00E71356"/>
    <w:rsid w:val="00E71CC5"/>
    <w:rsid w:val="00E72804"/>
    <w:rsid w:val="00E746CC"/>
    <w:rsid w:val="00E7527E"/>
    <w:rsid w:val="00E768C6"/>
    <w:rsid w:val="00E77BD5"/>
    <w:rsid w:val="00E77F02"/>
    <w:rsid w:val="00E85027"/>
    <w:rsid w:val="00E850E2"/>
    <w:rsid w:val="00E87DDD"/>
    <w:rsid w:val="00E92242"/>
    <w:rsid w:val="00E936B9"/>
    <w:rsid w:val="00E944F1"/>
    <w:rsid w:val="00E970FE"/>
    <w:rsid w:val="00E971E6"/>
    <w:rsid w:val="00EA11A0"/>
    <w:rsid w:val="00EA35E3"/>
    <w:rsid w:val="00EA52B8"/>
    <w:rsid w:val="00EA5A0A"/>
    <w:rsid w:val="00EA6423"/>
    <w:rsid w:val="00EA66ED"/>
    <w:rsid w:val="00EA6730"/>
    <w:rsid w:val="00EA7211"/>
    <w:rsid w:val="00EA75C5"/>
    <w:rsid w:val="00EB02D3"/>
    <w:rsid w:val="00EB0B63"/>
    <w:rsid w:val="00EB304E"/>
    <w:rsid w:val="00EB3738"/>
    <w:rsid w:val="00EB74B2"/>
    <w:rsid w:val="00EC2E01"/>
    <w:rsid w:val="00EC34DA"/>
    <w:rsid w:val="00EC7044"/>
    <w:rsid w:val="00EC7C2C"/>
    <w:rsid w:val="00ED2165"/>
    <w:rsid w:val="00ED230A"/>
    <w:rsid w:val="00ED2359"/>
    <w:rsid w:val="00ED26AA"/>
    <w:rsid w:val="00ED52C0"/>
    <w:rsid w:val="00ED560F"/>
    <w:rsid w:val="00ED6D83"/>
    <w:rsid w:val="00EE0BEA"/>
    <w:rsid w:val="00EE6377"/>
    <w:rsid w:val="00EE7B13"/>
    <w:rsid w:val="00EF0816"/>
    <w:rsid w:val="00EF161E"/>
    <w:rsid w:val="00EF6624"/>
    <w:rsid w:val="00F01C8C"/>
    <w:rsid w:val="00F07045"/>
    <w:rsid w:val="00F073E2"/>
    <w:rsid w:val="00F0741B"/>
    <w:rsid w:val="00F07D21"/>
    <w:rsid w:val="00F12331"/>
    <w:rsid w:val="00F12641"/>
    <w:rsid w:val="00F12D5E"/>
    <w:rsid w:val="00F22FA8"/>
    <w:rsid w:val="00F26851"/>
    <w:rsid w:val="00F27BC8"/>
    <w:rsid w:val="00F31629"/>
    <w:rsid w:val="00F31B32"/>
    <w:rsid w:val="00F324E2"/>
    <w:rsid w:val="00F32529"/>
    <w:rsid w:val="00F32D1E"/>
    <w:rsid w:val="00F3554A"/>
    <w:rsid w:val="00F36891"/>
    <w:rsid w:val="00F41582"/>
    <w:rsid w:val="00F415E6"/>
    <w:rsid w:val="00F4237F"/>
    <w:rsid w:val="00F42B21"/>
    <w:rsid w:val="00F43461"/>
    <w:rsid w:val="00F43E16"/>
    <w:rsid w:val="00F4493A"/>
    <w:rsid w:val="00F44D67"/>
    <w:rsid w:val="00F45078"/>
    <w:rsid w:val="00F46BB5"/>
    <w:rsid w:val="00F56F9F"/>
    <w:rsid w:val="00F576EA"/>
    <w:rsid w:val="00F6309F"/>
    <w:rsid w:val="00F638A2"/>
    <w:rsid w:val="00F638DE"/>
    <w:rsid w:val="00F63D8F"/>
    <w:rsid w:val="00F67378"/>
    <w:rsid w:val="00F738C3"/>
    <w:rsid w:val="00F74F55"/>
    <w:rsid w:val="00F777E7"/>
    <w:rsid w:val="00F8200E"/>
    <w:rsid w:val="00F83245"/>
    <w:rsid w:val="00F845B3"/>
    <w:rsid w:val="00F85E3E"/>
    <w:rsid w:val="00F87392"/>
    <w:rsid w:val="00F91C68"/>
    <w:rsid w:val="00F93684"/>
    <w:rsid w:val="00F939F6"/>
    <w:rsid w:val="00F94303"/>
    <w:rsid w:val="00F9537A"/>
    <w:rsid w:val="00F96A3B"/>
    <w:rsid w:val="00F96B10"/>
    <w:rsid w:val="00F97530"/>
    <w:rsid w:val="00FA2088"/>
    <w:rsid w:val="00FA4B13"/>
    <w:rsid w:val="00FA7D6B"/>
    <w:rsid w:val="00FB09D1"/>
    <w:rsid w:val="00FB3E3E"/>
    <w:rsid w:val="00FB49AD"/>
    <w:rsid w:val="00FB6314"/>
    <w:rsid w:val="00FB65CB"/>
    <w:rsid w:val="00FB683F"/>
    <w:rsid w:val="00FC39E7"/>
    <w:rsid w:val="00FC4FAE"/>
    <w:rsid w:val="00FC5A30"/>
    <w:rsid w:val="00FC6F0B"/>
    <w:rsid w:val="00FD07D6"/>
    <w:rsid w:val="00FD0EBF"/>
    <w:rsid w:val="00FD595D"/>
    <w:rsid w:val="00FD59B1"/>
    <w:rsid w:val="00FD5DA5"/>
    <w:rsid w:val="00FD5F2F"/>
    <w:rsid w:val="00FE3001"/>
    <w:rsid w:val="00FE3AE1"/>
    <w:rsid w:val="00FE549F"/>
    <w:rsid w:val="00FE59A9"/>
    <w:rsid w:val="00FE5C63"/>
    <w:rsid w:val="00FE5F90"/>
    <w:rsid w:val="00FE67D5"/>
    <w:rsid w:val="00FF18EA"/>
    <w:rsid w:val="00FF2D99"/>
    <w:rsid w:val="00FF513E"/>
    <w:rsid w:val="00FF5350"/>
    <w:rsid w:val="00FF600B"/>
    <w:rsid w:val="00FF74D9"/>
    <w:rsid w:val="02CD0E7A"/>
    <w:rsid w:val="03EF5937"/>
    <w:rsid w:val="047168CE"/>
    <w:rsid w:val="05D05B4C"/>
    <w:rsid w:val="06446D28"/>
    <w:rsid w:val="06AE3E0A"/>
    <w:rsid w:val="06FE1C78"/>
    <w:rsid w:val="086B5CDA"/>
    <w:rsid w:val="09A253A1"/>
    <w:rsid w:val="0AA53CE8"/>
    <w:rsid w:val="0B30303F"/>
    <w:rsid w:val="0B6F10E9"/>
    <w:rsid w:val="0B965FF8"/>
    <w:rsid w:val="0C2C4D9B"/>
    <w:rsid w:val="0C3F4736"/>
    <w:rsid w:val="0D56750A"/>
    <w:rsid w:val="0E1C5AFD"/>
    <w:rsid w:val="0E23539D"/>
    <w:rsid w:val="0E8E5F8E"/>
    <w:rsid w:val="0FEE0226"/>
    <w:rsid w:val="10AB432A"/>
    <w:rsid w:val="111D7BC2"/>
    <w:rsid w:val="11885F0D"/>
    <w:rsid w:val="14394412"/>
    <w:rsid w:val="15753548"/>
    <w:rsid w:val="15CA20FF"/>
    <w:rsid w:val="16072422"/>
    <w:rsid w:val="161B70F8"/>
    <w:rsid w:val="1632480C"/>
    <w:rsid w:val="166358E9"/>
    <w:rsid w:val="16975455"/>
    <w:rsid w:val="16FB6ED4"/>
    <w:rsid w:val="184611A6"/>
    <w:rsid w:val="193463F1"/>
    <w:rsid w:val="1957397A"/>
    <w:rsid w:val="19CA0459"/>
    <w:rsid w:val="19E07FCE"/>
    <w:rsid w:val="1B596100"/>
    <w:rsid w:val="1B871422"/>
    <w:rsid w:val="1C17470C"/>
    <w:rsid w:val="1C5B514C"/>
    <w:rsid w:val="1C735482"/>
    <w:rsid w:val="1F85034A"/>
    <w:rsid w:val="1FE375EA"/>
    <w:rsid w:val="210C1A01"/>
    <w:rsid w:val="23E460D7"/>
    <w:rsid w:val="247B294B"/>
    <w:rsid w:val="259C773D"/>
    <w:rsid w:val="264A058A"/>
    <w:rsid w:val="27D51C91"/>
    <w:rsid w:val="28B906C0"/>
    <w:rsid w:val="28D175E9"/>
    <w:rsid w:val="28F159FD"/>
    <w:rsid w:val="29CE5418"/>
    <w:rsid w:val="2A460A76"/>
    <w:rsid w:val="2A5F6588"/>
    <w:rsid w:val="2A902266"/>
    <w:rsid w:val="2AF17770"/>
    <w:rsid w:val="2C7C3B55"/>
    <w:rsid w:val="2EB058B2"/>
    <w:rsid w:val="31911B78"/>
    <w:rsid w:val="33821838"/>
    <w:rsid w:val="33C143EB"/>
    <w:rsid w:val="33D73741"/>
    <w:rsid w:val="34102501"/>
    <w:rsid w:val="350041CC"/>
    <w:rsid w:val="356A69DE"/>
    <w:rsid w:val="36A63E0F"/>
    <w:rsid w:val="37405631"/>
    <w:rsid w:val="37DF487C"/>
    <w:rsid w:val="383B0435"/>
    <w:rsid w:val="3922196A"/>
    <w:rsid w:val="393F79F2"/>
    <w:rsid w:val="397C1330"/>
    <w:rsid w:val="3AEC222F"/>
    <w:rsid w:val="3ED00DA3"/>
    <w:rsid w:val="3F6D0FB4"/>
    <w:rsid w:val="3FDD6EFC"/>
    <w:rsid w:val="4024246B"/>
    <w:rsid w:val="402A2C92"/>
    <w:rsid w:val="42343923"/>
    <w:rsid w:val="42764C16"/>
    <w:rsid w:val="428D6BEE"/>
    <w:rsid w:val="42F32DA0"/>
    <w:rsid w:val="4504176C"/>
    <w:rsid w:val="45056245"/>
    <w:rsid w:val="45D24B5E"/>
    <w:rsid w:val="463E740F"/>
    <w:rsid w:val="46447855"/>
    <w:rsid w:val="47C645F6"/>
    <w:rsid w:val="48212BE3"/>
    <w:rsid w:val="488B79C0"/>
    <w:rsid w:val="493A7633"/>
    <w:rsid w:val="498E4BB6"/>
    <w:rsid w:val="4A060D8B"/>
    <w:rsid w:val="4A2B27B1"/>
    <w:rsid w:val="4AC30AA9"/>
    <w:rsid w:val="4AD75DF0"/>
    <w:rsid w:val="4B58746D"/>
    <w:rsid w:val="4C6562E6"/>
    <w:rsid w:val="4CDB2C60"/>
    <w:rsid w:val="4EC85307"/>
    <w:rsid w:val="508115CB"/>
    <w:rsid w:val="51AD7FCC"/>
    <w:rsid w:val="52246F57"/>
    <w:rsid w:val="53D14942"/>
    <w:rsid w:val="53DA3115"/>
    <w:rsid w:val="53E564EE"/>
    <w:rsid w:val="54936D6C"/>
    <w:rsid w:val="54C11BB9"/>
    <w:rsid w:val="559261DA"/>
    <w:rsid w:val="56902739"/>
    <w:rsid w:val="576E5012"/>
    <w:rsid w:val="589450AA"/>
    <w:rsid w:val="58E96152"/>
    <w:rsid w:val="59553572"/>
    <w:rsid w:val="596117F4"/>
    <w:rsid w:val="59E44A58"/>
    <w:rsid w:val="5A382944"/>
    <w:rsid w:val="5AD44975"/>
    <w:rsid w:val="5C0570F6"/>
    <w:rsid w:val="5CD11A43"/>
    <w:rsid w:val="5D5C785A"/>
    <w:rsid w:val="5DDB1F64"/>
    <w:rsid w:val="5DE10688"/>
    <w:rsid w:val="5E510478"/>
    <w:rsid w:val="5E6E2D89"/>
    <w:rsid w:val="5EA04F5B"/>
    <w:rsid w:val="5FE01364"/>
    <w:rsid w:val="5FF15AA3"/>
    <w:rsid w:val="60031C46"/>
    <w:rsid w:val="60313182"/>
    <w:rsid w:val="60FD1DFC"/>
    <w:rsid w:val="611A2DA3"/>
    <w:rsid w:val="61531878"/>
    <w:rsid w:val="624E70BE"/>
    <w:rsid w:val="629656D6"/>
    <w:rsid w:val="62CA27A3"/>
    <w:rsid w:val="62D156BB"/>
    <w:rsid w:val="62D358FF"/>
    <w:rsid w:val="63116355"/>
    <w:rsid w:val="633E5EAA"/>
    <w:rsid w:val="64061411"/>
    <w:rsid w:val="65C37EAD"/>
    <w:rsid w:val="65F77751"/>
    <w:rsid w:val="66383744"/>
    <w:rsid w:val="66560D21"/>
    <w:rsid w:val="67AE2497"/>
    <w:rsid w:val="696B6FF1"/>
    <w:rsid w:val="696C43B8"/>
    <w:rsid w:val="6A932FC5"/>
    <w:rsid w:val="6AE91B23"/>
    <w:rsid w:val="6B5C7BD2"/>
    <w:rsid w:val="6BB81B36"/>
    <w:rsid w:val="6BB951F2"/>
    <w:rsid w:val="6BE53A0D"/>
    <w:rsid w:val="6BF01EFD"/>
    <w:rsid w:val="6C1067CF"/>
    <w:rsid w:val="6C4E5FF7"/>
    <w:rsid w:val="6CA055E1"/>
    <w:rsid w:val="6D282CEC"/>
    <w:rsid w:val="6D5A5F9B"/>
    <w:rsid w:val="6DA055E7"/>
    <w:rsid w:val="6FC530F9"/>
    <w:rsid w:val="714D5E4B"/>
    <w:rsid w:val="71C10E11"/>
    <w:rsid w:val="71F6426D"/>
    <w:rsid w:val="75F94C21"/>
    <w:rsid w:val="770628E1"/>
    <w:rsid w:val="783578AC"/>
    <w:rsid w:val="78AE1B43"/>
    <w:rsid w:val="7AE364A4"/>
    <w:rsid w:val="7B504A23"/>
    <w:rsid w:val="7D8675E3"/>
    <w:rsid w:val="7E3E13B1"/>
    <w:rsid w:val="7F2E7B25"/>
    <w:rsid w:val="7F6D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4"/>
    <w:qFormat/>
    <w:uiPriority w:val="9"/>
    <w:pPr>
      <w:keepNext/>
      <w:keepLines/>
      <w:spacing w:before="340" w:after="330" w:line="578" w:lineRule="auto"/>
    </w:pPr>
    <w:rPr>
      <w:kern w:val="44"/>
      <w:sz w:val="44"/>
      <w:szCs w:val="44"/>
    </w:rPr>
  </w:style>
  <w:style w:type="paragraph" w:styleId="4">
    <w:name w:val="heading 2"/>
    <w:basedOn w:val="1"/>
    <w:next w:val="1"/>
    <w:link w:val="53"/>
    <w:qFormat/>
    <w:uiPriority w:val="9"/>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link w:val="5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annotation text"/>
    <w:basedOn w:val="1"/>
    <w:link w:val="43"/>
    <w:qFormat/>
    <w:uiPriority w:val="99"/>
    <w:pPr>
      <w:jc w:val="left"/>
    </w:pPr>
    <w:rPr>
      <w:rFonts w:ascii="Times New Roman" w:hAnsi="Times New Roman" w:eastAsia="宋体" w:cs="Times New Roman"/>
      <w:szCs w:val="20"/>
    </w:rPr>
  </w:style>
  <w:style w:type="paragraph" w:styleId="9">
    <w:name w:val="Salutation"/>
    <w:basedOn w:val="1"/>
    <w:next w:val="1"/>
    <w:qFormat/>
    <w:uiPriority w:val="0"/>
    <w:pPr>
      <w:adjustRightInd w:val="0"/>
      <w:spacing w:line="312" w:lineRule="atLeast"/>
      <w:textAlignment w:val="baseline"/>
    </w:pPr>
    <w:rPr>
      <w:rFonts w:ascii="楷体_GB2312" w:eastAsia="楷体_GB2312"/>
      <w:spacing w:val="20"/>
      <w:kern w:val="0"/>
      <w:sz w:val="28"/>
    </w:rPr>
  </w:style>
  <w:style w:type="paragraph" w:styleId="10">
    <w:name w:val="Body Text 3"/>
    <w:basedOn w:val="1"/>
    <w:link w:val="44"/>
    <w:qFormat/>
    <w:uiPriority w:val="0"/>
    <w:pPr>
      <w:spacing w:after="120"/>
    </w:pPr>
    <w:rPr>
      <w:rFonts w:ascii="Times New Roman" w:hAnsi="Times New Roman" w:eastAsia="宋体" w:cs="Times New Roman"/>
      <w:sz w:val="16"/>
      <w:szCs w:val="16"/>
    </w:rPr>
  </w:style>
  <w:style w:type="paragraph" w:styleId="11">
    <w:name w:val="Body Text"/>
    <w:basedOn w:val="1"/>
    <w:next w:val="1"/>
    <w:link w:val="51"/>
    <w:semiHidden/>
    <w:unhideWhenUsed/>
    <w:qFormat/>
    <w:uiPriority w:val="99"/>
    <w:pPr>
      <w:spacing w:after="120"/>
    </w:pPr>
  </w:style>
  <w:style w:type="paragraph" w:styleId="12">
    <w:name w:val="Body Text Indent"/>
    <w:basedOn w:val="1"/>
    <w:link w:val="37"/>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3">
    <w:name w:val="toc 3"/>
    <w:basedOn w:val="1"/>
    <w:next w:val="1"/>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4">
    <w:name w:val="Plain Text"/>
    <w:basedOn w:val="1"/>
    <w:link w:val="40"/>
    <w:qFormat/>
    <w:uiPriority w:val="0"/>
    <w:rPr>
      <w:rFonts w:ascii="宋体" w:hAnsi="Courier New" w:eastAsia="宋体" w:cs="Times New Roman"/>
      <w:szCs w:val="20"/>
    </w:rPr>
  </w:style>
  <w:style w:type="paragraph" w:styleId="15">
    <w:name w:val="Date"/>
    <w:basedOn w:val="1"/>
    <w:next w:val="1"/>
    <w:link w:val="42"/>
    <w:semiHidden/>
    <w:unhideWhenUsed/>
    <w:qFormat/>
    <w:uiPriority w:val="99"/>
    <w:pPr>
      <w:ind w:left="100" w:leftChars="2500"/>
    </w:pPr>
  </w:style>
  <w:style w:type="paragraph" w:styleId="16">
    <w:name w:val="Balloon Text"/>
    <w:basedOn w:val="1"/>
    <w:link w:val="41"/>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20">
    <w:name w:val="Body Text Indent 3"/>
    <w:basedOn w:val="1"/>
    <w:qFormat/>
    <w:uiPriority w:val="0"/>
    <w:pPr>
      <w:adjustRightInd w:val="0"/>
      <w:spacing w:before="240" w:line="520" w:lineRule="exact"/>
      <w:ind w:firstLine="539"/>
      <w:textAlignment w:val="baseline"/>
    </w:pPr>
    <w:rPr>
      <w:rFonts w:ascii="Times New Roman" w:hAnsi="Times New Roman"/>
      <w:sz w:val="28"/>
      <w:szCs w:val="28"/>
    </w:rPr>
  </w:style>
  <w:style w:type="paragraph" w:styleId="21">
    <w:name w:val="toc 2"/>
    <w:basedOn w:val="1"/>
    <w:next w:val="1"/>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2">
    <w:name w:val="Body Text 2"/>
    <w:basedOn w:val="1"/>
    <w:link w:val="46"/>
    <w:semiHidden/>
    <w:unhideWhenUsed/>
    <w:qFormat/>
    <w:uiPriority w:val="99"/>
    <w:pPr>
      <w:spacing w:after="120" w:line="480" w:lineRule="auto"/>
    </w:p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8"/>
    <w:next w:val="8"/>
    <w:link w:val="56"/>
    <w:semiHidden/>
    <w:unhideWhenUsed/>
    <w:qFormat/>
    <w:uiPriority w:val="99"/>
    <w:rPr>
      <w:rFonts w:asciiTheme="minorHAnsi" w:hAnsiTheme="minorHAnsi" w:eastAsiaTheme="minorEastAsia" w:cstheme="minorBidi"/>
      <w:b/>
      <w:bCs/>
      <w:szCs w:val="22"/>
    </w:rPr>
  </w:style>
  <w:style w:type="paragraph" w:styleId="25">
    <w:name w:val="Body Text First Indent 2"/>
    <w:basedOn w:val="12"/>
    <w:unhideWhenUsed/>
    <w:qFormat/>
    <w:uiPriority w:val="99"/>
    <w:pPr>
      <w:ind w:firstLine="420" w:firstLineChars="2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qFormat/>
    <w:uiPriority w:val="99"/>
    <w:rPr>
      <w:sz w:val="21"/>
      <w:szCs w:val="21"/>
    </w:rPr>
  </w:style>
  <w:style w:type="character" w:customStyle="1" w:styleId="32">
    <w:name w:val="页眉 字符"/>
    <w:basedOn w:val="28"/>
    <w:link w:val="18"/>
    <w:qFormat/>
    <w:uiPriority w:val="99"/>
    <w:rPr>
      <w:sz w:val="18"/>
      <w:szCs w:val="18"/>
    </w:rPr>
  </w:style>
  <w:style w:type="character" w:customStyle="1" w:styleId="33">
    <w:name w:val="页脚 字符"/>
    <w:basedOn w:val="28"/>
    <w:link w:val="17"/>
    <w:qFormat/>
    <w:uiPriority w:val="99"/>
    <w:rPr>
      <w:sz w:val="18"/>
      <w:szCs w:val="18"/>
    </w:rPr>
  </w:style>
  <w:style w:type="character" w:customStyle="1" w:styleId="34">
    <w:name w:val="标题 1 字符"/>
    <w:basedOn w:val="28"/>
    <w:link w:val="2"/>
    <w:qFormat/>
    <w:uiPriority w:val="9"/>
    <w:rPr>
      <w:b/>
      <w:bCs/>
      <w:kern w:val="44"/>
      <w:sz w:val="44"/>
      <w:szCs w:val="44"/>
    </w:rPr>
  </w:style>
  <w:style w:type="paragraph" w:customStyle="1" w:styleId="35">
    <w:name w:val="TOC 标题1"/>
    <w:basedOn w:val="2"/>
    <w:next w:val="1"/>
    <w:unhideWhenUsed/>
    <w:qFormat/>
    <w:uiPriority w:val="39"/>
    <w:pPr>
      <w:widowControl/>
      <w:spacing w:before="240" w:after="0" w:line="259" w:lineRule="auto"/>
      <w:jc w:val="left"/>
      <w:outlineLvl w:val="9"/>
    </w:pPr>
    <w:rPr>
      <w:b w:val="0"/>
      <w:bCs w:val="0"/>
      <w:color w:val="2E75B6" w:themeColor="accent1" w:themeShade="BF"/>
      <w:kern w:val="0"/>
      <w:sz w:val="32"/>
      <w:szCs w:val="32"/>
    </w:rPr>
  </w:style>
  <w:style w:type="paragraph" w:styleId="36">
    <w:name w:val="List Paragraph"/>
    <w:basedOn w:val="1"/>
    <w:link w:val="68"/>
    <w:unhideWhenUsed/>
    <w:qFormat/>
    <w:uiPriority w:val="99"/>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37">
    <w:name w:val="正文文本缩进 字符"/>
    <w:basedOn w:val="28"/>
    <w:link w:val="12"/>
    <w:qFormat/>
    <w:uiPriority w:val="0"/>
    <w:rPr>
      <w:rFonts w:ascii="楷体_GB2312" w:hAnsi="Times New Roman" w:eastAsia="楷体_GB2312" w:cs="Times New Roman"/>
      <w:kern w:val="0"/>
      <w:sz w:val="28"/>
      <w:szCs w:val="20"/>
    </w:rPr>
  </w:style>
  <w:style w:type="paragraph" w:customStyle="1" w:styleId="38">
    <w:name w:val="蓝色显示"/>
    <w:basedOn w:val="1"/>
    <w:link w:val="39"/>
    <w:qFormat/>
    <w:uiPriority w:val="0"/>
    <w:pPr>
      <w:spacing w:before="340" w:after="330" w:line="400" w:lineRule="exact"/>
    </w:pPr>
    <w:rPr>
      <w:rFonts w:ascii="Times New Roman" w:hAnsi="Times New Roman" w:eastAsia="宋体" w:cs="Times New Roman"/>
      <w:b/>
      <w:color w:val="0070C0"/>
      <w:szCs w:val="24"/>
    </w:rPr>
  </w:style>
  <w:style w:type="character" w:customStyle="1" w:styleId="39">
    <w:name w:val="蓝色显示 Char"/>
    <w:link w:val="38"/>
    <w:qFormat/>
    <w:uiPriority w:val="0"/>
    <w:rPr>
      <w:rFonts w:ascii="Times New Roman" w:hAnsi="Times New Roman" w:eastAsia="宋体" w:cs="Times New Roman"/>
      <w:b/>
      <w:color w:val="0070C0"/>
      <w:szCs w:val="24"/>
    </w:rPr>
  </w:style>
  <w:style w:type="character" w:customStyle="1" w:styleId="40">
    <w:name w:val="纯文本 字符"/>
    <w:basedOn w:val="28"/>
    <w:link w:val="14"/>
    <w:qFormat/>
    <w:uiPriority w:val="0"/>
    <w:rPr>
      <w:rFonts w:ascii="宋体" w:hAnsi="Courier New" w:eastAsia="宋体" w:cs="Times New Roman"/>
      <w:szCs w:val="20"/>
    </w:rPr>
  </w:style>
  <w:style w:type="character" w:customStyle="1" w:styleId="41">
    <w:name w:val="批注框文本 字符"/>
    <w:basedOn w:val="28"/>
    <w:link w:val="16"/>
    <w:semiHidden/>
    <w:qFormat/>
    <w:uiPriority w:val="99"/>
    <w:rPr>
      <w:sz w:val="18"/>
      <w:szCs w:val="18"/>
    </w:rPr>
  </w:style>
  <w:style w:type="character" w:customStyle="1" w:styleId="42">
    <w:name w:val="日期 字符"/>
    <w:basedOn w:val="28"/>
    <w:link w:val="15"/>
    <w:semiHidden/>
    <w:qFormat/>
    <w:uiPriority w:val="99"/>
  </w:style>
  <w:style w:type="character" w:customStyle="1" w:styleId="43">
    <w:name w:val="批注文字 字符1"/>
    <w:basedOn w:val="28"/>
    <w:link w:val="8"/>
    <w:qFormat/>
    <w:uiPriority w:val="99"/>
    <w:rPr>
      <w:rFonts w:ascii="Times New Roman" w:hAnsi="Times New Roman" w:eastAsia="宋体" w:cs="Times New Roman"/>
      <w:szCs w:val="20"/>
    </w:rPr>
  </w:style>
  <w:style w:type="character" w:customStyle="1" w:styleId="44">
    <w:name w:val="正文文本 3 字符"/>
    <w:basedOn w:val="28"/>
    <w:link w:val="10"/>
    <w:qFormat/>
    <w:uiPriority w:val="0"/>
    <w:rPr>
      <w:rFonts w:ascii="Times New Roman" w:hAnsi="Times New Roman" w:eastAsia="宋体" w:cs="Times New Roman"/>
      <w:sz w:val="16"/>
      <w:szCs w:val="16"/>
    </w:rPr>
  </w:style>
  <w:style w:type="paragraph" w:customStyle="1" w:styleId="45">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46">
    <w:name w:val="正文文本 2 字符"/>
    <w:basedOn w:val="28"/>
    <w:link w:val="22"/>
    <w:semiHidden/>
    <w:qFormat/>
    <w:uiPriority w:val="99"/>
  </w:style>
  <w:style w:type="character" w:customStyle="1" w:styleId="47">
    <w:name w:val="批注文字 字符"/>
    <w:qFormat/>
    <w:uiPriority w:val="99"/>
    <w:rPr>
      <w:rFonts w:eastAsia="宋体"/>
      <w:kern w:val="2"/>
      <w:sz w:val="21"/>
      <w:lang w:val="en-US" w:eastAsia="zh-CN" w:bidi="ar-SA"/>
    </w:rPr>
  </w:style>
  <w:style w:type="character" w:customStyle="1" w:styleId="48">
    <w:name w:val="font31"/>
    <w:qFormat/>
    <w:uiPriority w:val="0"/>
    <w:rPr>
      <w:rFonts w:hint="eastAsia" w:ascii="宋体" w:hAnsi="宋体" w:eastAsia="宋体" w:cs="宋体"/>
      <w:color w:val="FF0000"/>
      <w:kern w:val="2"/>
      <w:sz w:val="22"/>
      <w:szCs w:val="22"/>
      <w:lang w:val="en-US" w:eastAsia="zh-CN" w:bidi="ar-SA"/>
    </w:rPr>
  </w:style>
  <w:style w:type="paragraph" w:customStyle="1" w:styleId="49">
    <w:name w:val="Body Text First Indent1"/>
    <w:basedOn w:val="11"/>
    <w:qFormat/>
    <w:uiPriority w:val="0"/>
    <w:pPr>
      <w:ind w:firstLine="420"/>
    </w:pPr>
    <w:rPr>
      <w:rFonts w:ascii="Times New Roman" w:hAnsi="Times New Roman" w:eastAsia="宋体" w:cs="Times New Roman"/>
      <w:szCs w:val="20"/>
    </w:rPr>
  </w:style>
  <w:style w:type="character" w:customStyle="1" w:styleId="50">
    <w:name w:val="15"/>
    <w:qFormat/>
    <w:uiPriority w:val="0"/>
    <w:rPr>
      <w:rFonts w:hint="eastAsia" w:ascii="宋体" w:hAnsi="宋体"/>
      <w:color w:val="000000"/>
      <w:sz w:val="21"/>
      <w:szCs w:val="21"/>
      <w:lang w:val="en-US" w:eastAsia="zh-CN" w:bidi="ar-SA"/>
    </w:rPr>
  </w:style>
  <w:style w:type="character" w:customStyle="1" w:styleId="51">
    <w:name w:val="正文文本 字符"/>
    <w:basedOn w:val="28"/>
    <w:link w:val="11"/>
    <w:semiHidden/>
    <w:qFormat/>
    <w:uiPriority w:val="99"/>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53">
    <w:name w:val="标题 2 字符"/>
    <w:basedOn w:val="28"/>
    <w:link w:val="4"/>
    <w:qFormat/>
    <w:uiPriority w:val="99"/>
    <w:rPr>
      <w:rFonts w:ascii="Arial" w:hAnsi="Arial" w:eastAsia="黑体" w:cs="Times New Roman"/>
      <w:b/>
      <w:bCs/>
      <w:sz w:val="32"/>
      <w:szCs w:val="32"/>
    </w:rPr>
  </w:style>
  <w:style w:type="character" w:customStyle="1" w:styleId="54">
    <w:name w:val="标题 2 Char Char Char"/>
    <w:qFormat/>
    <w:uiPriority w:val="0"/>
    <w:rPr>
      <w:rFonts w:ascii="Arial" w:hAnsi="Arial" w:eastAsia="黑体" w:cs="Times New Roman"/>
      <w:b/>
      <w:bCs/>
      <w:kern w:val="2"/>
      <w:sz w:val="32"/>
      <w:szCs w:val="32"/>
      <w:lang w:val="en-US" w:eastAsia="zh-CN" w:bidi="ar-SA"/>
    </w:rPr>
  </w:style>
  <w:style w:type="character" w:customStyle="1" w:styleId="55">
    <w:name w:val="标题 3 字符"/>
    <w:basedOn w:val="28"/>
    <w:link w:val="5"/>
    <w:semiHidden/>
    <w:qFormat/>
    <w:uiPriority w:val="9"/>
    <w:rPr>
      <w:b/>
      <w:bCs/>
      <w:sz w:val="32"/>
      <w:szCs w:val="32"/>
    </w:rPr>
  </w:style>
  <w:style w:type="character" w:customStyle="1" w:styleId="56">
    <w:name w:val="批注主题 字符"/>
    <w:basedOn w:val="43"/>
    <w:link w:val="24"/>
    <w:semiHidden/>
    <w:qFormat/>
    <w:uiPriority w:val="99"/>
    <w:rPr>
      <w:rFonts w:ascii="Times New Roman" w:hAnsi="Times New Roman" w:eastAsia="宋体" w:cs="Times New Roman"/>
      <w:b/>
      <w:bCs/>
      <w:szCs w:val="20"/>
    </w:rPr>
  </w:style>
  <w:style w:type="character" w:styleId="57">
    <w:name w:val="Placeholder Text"/>
    <w:basedOn w:val="28"/>
    <w:semiHidden/>
    <w:qFormat/>
    <w:uiPriority w:val="99"/>
    <w:rPr>
      <w:color w:val="808080"/>
    </w:rPr>
  </w:style>
  <w:style w:type="paragraph" w:customStyle="1" w:styleId="5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0">
    <w:name w:val="03 Wheras"/>
    <w:basedOn w:val="1"/>
    <w:qFormat/>
    <w:uiPriority w:val="0"/>
    <w:pPr>
      <w:widowControl/>
      <w:spacing w:line="290" w:lineRule="auto"/>
    </w:pPr>
    <w:rPr>
      <w:rFonts w:ascii="Arial" w:hAnsi="Arial" w:eastAsia="黑体"/>
      <w:b/>
      <w:kern w:val="20"/>
      <w:sz w:val="24"/>
      <w:szCs w:val="23"/>
      <w:lang w:val="en-GB" w:eastAsia="en-US"/>
    </w:rPr>
  </w:style>
  <w:style w:type="paragraph" w:customStyle="1" w:styleId="61">
    <w:name w:val="Parties"/>
    <w:basedOn w:val="1"/>
    <w:qFormat/>
    <w:uiPriority w:val="0"/>
    <w:pPr>
      <w:widowControl/>
      <w:spacing w:after="140" w:line="290" w:lineRule="auto"/>
    </w:pPr>
    <w:rPr>
      <w:rFonts w:ascii="Arial" w:hAnsi="Arial"/>
      <w:kern w:val="20"/>
      <w:sz w:val="20"/>
      <w:szCs w:val="24"/>
      <w:lang w:eastAsia="en-US"/>
    </w:rPr>
  </w:style>
  <w:style w:type="paragraph" w:customStyle="1" w:styleId="62">
    <w:name w:val="04 Recitals"/>
    <w:basedOn w:val="63"/>
    <w:qFormat/>
    <w:uiPriority w:val="0"/>
    <w:pPr>
      <w:numPr>
        <w:ilvl w:val="0"/>
        <w:numId w:val="1"/>
      </w:numPr>
      <w:tabs>
        <w:tab w:val="left" w:pos="480"/>
      </w:tabs>
    </w:pPr>
  </w:style>
  <w:style w:type="paragraph" w:customStyle="1" w:styleId="63">
    <w:name w:val="05 Body"/>
    <w:basedOn w:val="1"/>
    <w:qFormat/>
    <w:uiPriority w:val="0"/>
    <w:pPr>
      <w:widowControl/>
      <w:spacing w:line="290" w:lineRule="auto"/>
    </w:pPr>
    <w:rPr>
      <w:rFonts w:ascii="Arial" w:hAnsi="Arial"/>
      <w:kern w:val="20"/>
      <w:sz w:val="24"/>
      <w:szCs w:val="23"/>
      <w:lang w:val="en-GB" w:eastAsia="en-US"/>
    </w:rPr>
  </w:style>
  <w:style w:type="paragraph" w:customStyle="1" w:styleId="64">
    <w:name w:val="Level 1"/>
    <w:basedOn w:val="1"/>
    <w:next w:val="1"/>
    <w:qFormat/>
    <w:uiPriority w:val="0"/>
    <w:pPr>
      <w:keepNext/>
      <w:widowControl/>
      <w:numPr>
        <w:ilvl w:val="0"/>
        <w:numId w:val="2"/>
      </w:numPr>
      <w:spacing w:line="360" w:lineRule="auto"/>
      <w:outlineLvl w:val="0"/>
    </w:pPr>
    <w:rPr>
      <w:rFonts w:ascii="Arial" w:hAnsi="Arial" w:eastAsia="黑体"/>
      <w:b/>
      <w:caps/>
      <w:w w:val="105"/>
      <w:kern w:val="20"/>
      <w:sz w:val="24"/>
      <w:szCs w:val="24"/>
      <w:lang w:val="en-GB" w:eastAsia="en-US"/>
    </w:rPr>
  </w:style>
  <w:style w:type="paragraph" w:customStyle="1" w:styleId="65">
    <w:name w:val="Level 2"/>
    <w:basedOn w:val="1"/>
    <w:next w:val="1"/>
    <w:qFormat/>
    <w:uiPriority w:val="0"/>
    <w:pPr>
      <w:numPr>
        <w:ilvl w:val="1"/>
        <w:numId w:val="2"/>
      </w:numPr>
      <w:spacing w:line="360" w:lineRule="auto"/>
      <w:outlineLvl w:val="1"/>
    </w:pPr>
    <w:rPr>
      <w:rFonts w:ascii="Arial" w:hAnsi="Arial"/>
      <w:w w:val="105"/>
      <w:kern w:val="20"/>
      <w:sz w:val="24"/>
      <w:szCs w:val="24"/>
      <w:lang w:val="en-GB" w:eastAsia="en-US"/>
    </w:rPr>
  </w:style>
  <w:style w:type="paragraph" w:customStyle="1" w:styleId="66">
    <w:name w:val="Level 4"/>
    <w:basedOn w:val="1"/>
    <w:qFormat/>
    <w:uiPriority w:val="0"/>
    <w:pPr>
      <w:widowControl/>
      <w:numPr>
        <w:ilvl w:val="3"/>
        <w:numId w:val="2"/>
      </w:numPr>
      <w:spacing w:after="120" w:line="336" w:lineRule="auto"/>
      <w:outlineLvl w:val="3"/>
    </w:pPr>
    <w:rPr>
      <w:rFonts w:ascii="Arial" w:hAnsi="Arial"/>
      <w:w w:val="105"/>
      <w:kern w:val="20"/>
      <w:sz w:val="24"/>
      <w:lang w:val="en-GB" w:eastAsia="en-US"/>
    </w:rPr>
  </w:style>
  <w:style w:type="paragraph" w:customStyle="1" w:styleId="67">
    <w:name w:val="Body 2"/>
    <w:basedOn w:val="1"/>
    <w:qFormat/>
    <w:uiPriority w:val="0"/>
    <w:pPr>
      <w:widowControl/>
      <w:spacing w:after="140" w:line="290" w:lineRule="auto"/>
      <w:ind w:left="1247"/>
    </w:pPr>
    <w:rPr>
      <w:rFonts w:ascii="Arial" w:hAnsi="Arial"/>
      <w:kern w:val="20"/>
      <w:sz w:val="20"/>
      <w:szCs w:val="24"/>
      <w:lang w:eastAsia="en-US"/>
    </w:rPr>
  </w:style>
  <w:style w:type="character" w:customStyle="1" w:styleId="68">
    <w:name w:val="列表段落 字符"/>
    <w:link w:val="36"/>
    <w:qFormat/>
    <w:uiPriority w:val="99"/>
    <w:rPr>
      <w:rFonts w:ascii="Arial Unicode MS" w:hAnsi="Arial Unicode MS" w:eastAsia="Times New Roman" w:cs="Arial Unicode MS"/>
      <w:color w:val="000000"/>
      <w:u w:color="000000"/>
      <w:lang w:eastAsia="en-US"/>
    </w:rPr>
  </w:style>
  <w:style w:type="paragraph" w:customStyle="1" w:styleId="69">
    <w:name w:val="p0"/>
    <w:basedOn w:val="1"/>
    <w:qFormat/>
    <w:uiPriority w:val="0"/>
    <w:pPr>
      <w:widowControl/>
      <w:adjustRightInd w:val="0"/>
      <w:spacing w:line="360" w:lineRule="atLeast"/>
      <w:textAlignment w:val="baseline"/>
    </w:pPr>
    <w:rPr>
      <w:rFonts w:ascii="Times New Roman" w:hAnsi="Times New Roman" w:eastAsia="Times New Roman" w:cs="Times New Roman"/>
      <w:kern w:val="0"/>
      <w:szCs w:val="20"/>
    </w:rPr>
  </w:style>
  <w:style w:type="paragraph" w:customStyle="1" w:styleId="7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1716</Words>
  <Characters>1869</Characters>
  <Lines>76</Lines>
  <Paragraphs>21</Paragraphs>
  <TotalTime>1</TotalTime>
  <ScaleCrop>false</ScaleCrop>
  <LinksUpToDate>false</LinksUpToDate>
  <CharactersWithSpaces>1992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2016-04-10T09:07:00Z</dcterms:created>
  <dc:creator>ibm</dc:creator>
  <cp:lastModifiedBy>Cy.</cp:lastModifiedBy>
  <cp:lastPrinted>2022-08-10T03:00:00Z</cp:lastPrinted>
  <dcterms:modified xsi:type="dcterms:W3CDTF">2025-03-31T02:03:31Z</dcterms:modified>
  <cp:revision>1052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B8AC7B1C67CD4D0694278AC2796505A3_13</vt:lpwstr>
  </property>
  <property fmtid="{D5CDD505-2E9C-101B-9397-08002B2CF9AE}" pid="4" name="KSOTemplateDocerSaveRecord">
    <vt:lpwstr>eyJoZGlkIjoiMzA0ZTA5ZTFmN2I5NGQ5YTZjM2ZkMjU3M2E3Y2VlZjciLCJ1c2VySWQiOiI2MjEzMjc0NzQifQ==</vt:lpwstr>
  </property>
</Properties>
</file>